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34" w:rsidRPr="00B33302" w:rsidRDefault="00B94D32">
      <w:pPr>
        <w:rPr>
          <w:b/>
          <w:color w:val="FF0000"/>
          <w:sz w:val="28"/>
          <w:u w:val="single"/>
        </w:rPr>
      </w:pPr>
      <w:r w:rsidRPr="00B33302">
        <w:rPr>
          <w:b/>
          <w:color w:val="FF0000"/>
          <w:sz w:val="28"/>
          <w:u w:val="single"/>
        </w:rPr>
        <w:t xml:space="preserve">Regional </w:t>
      </w:r>
      <w:proofErr w:type="spellStart"/>
      <w:r w:rsidRPr="00B33302">
        <w:rPr>
          <w:b/>
          <w:color w:val="FF0000"/>
          <w:sz w:val="28"/>
          <w:u w:val="single"/>
        </w:rPr>
        <w:t>anaesthesia</w:t>
      </w:r>
      <w:proofErr w:type="spellEnd"/>
      <w:r w:rsidRPr="00B33302">
        <w:rPr>
          <w:b/>
          <w:color w:val="FF0000"/>
          <w:sz w:val="28"/>
          <w:u w:val="single"/>
        </w:rPr>
        <w:t xml:space="preserve"> in patients on newer </w:t>
      </w:r>
      <w:r w:rsidR="00D905CB" w:rsidRPr="00B33302">
        <w:rPr>
          <w:b/>
          <w:color w:val="FF0000"/>
          <w:sz w:val="28"/>
          <w:u w:val="single"/>
        </w:rPr>
        <w:t>A</w:t>
      </w:r>
      <w:r w:rsidRPr="00B33302">
        <w:rPr>
          <w:b/>
          <w:color w:val="FF0000"/>
          <w:sz w:val="28"/>
          <w:u w:val="single"/>
        </w:rPr>
        <w:t xml:space="preserve">nticoagulants and </w:t>
      </w:r>
      <w:proofErr w:type="spellStart"/>
      <w:r w:rsidR="00D905CB" w:rsidRPr="00B33302">
        <w:rPr>
          <w:b/>
          <w:color w:val="FF0000"/>
          <w:sz w:val="28"/>
          <w:u w:val="single"/>
        </w:rPr>
        <w:t>A</w:t>
      </w:r>
      <w:r w:rsidRPr="00B33302">
        <w:rPr>
          <w:b/>
          <w:color w:val="FF0000"/>
          <w:sz w:val="28"/>
          <w:u w:val="single"/>
        </w:rPr>
        <w:t>ntiplatelets</w:t>
      </w:r>
      <w:proofErr w:type="spellEnd"/>
    </w:p>
    <w:p w:rsidR="00B94D32" w:rsidRDefault="00B33302">
      <w:proofErr w:type="spellStart"/>
      <w:r w:rsidRPr="00B33302">
        <w:rPr>
          <w:b/>
          <w:i/>
          <w:sz w:val="24"/>
        </w:rPr>
        <w:t>Dr</w:t>
      </w:r>
      <w:r>
        <w:rPr>
          <w:b/>
          <w:i/>
          <w:sz w:val="24"/>
        </w:rPr>
        <w:t>.J.</w:t>
      </w:r>
      <w:r w:rsidRPr="00B33302">
        <w:rPr>
          <w:b/>
          <w:i/>
          <w:sz w:val="24"/>
        </w:rPr>
        <w:t>Edward</w:t>
      </w:r>
      <w:proofErr w:type="spellEnd"/>
      <w:r w:rsidRPr="00B33302">
        <w:rPr>
          <w:b/>
          <w:i/>
          <w:sz w:val="24"/>
        </w:rPr>
        <w:t xml:space="preserve"> </w:t>
      </w:r>
      <w:proofErr w:type="spellStart"/>
      <w:r w:rsidRPr="00B33302">
        <w:rPr>
          <w:b/>
          <w:i/>
          <w:sz w:val="24"/>
        </w:rPr>
        <w:t>Johnson.M.D</w:t>
      </w:r>
      <w:proofErr w:type="spellEnd"/>
      <w:proofErr w:type="gramStart"/>
      <w:r w:rsidRPr="00B33302">
        <w:rPr>
          <w:b/>
          <w:i/>
          <w:sz w:val="24"/>
        </w:rPr>
        <w:t>.(</w:t>
      </w:r>
      <w:proofErr w:type="spellStart"/>
      <w:proofErr w:type="gramEnd"/>
      <w:r w:rsidRPr="00B33302">
        <w:rPr>
          <w:b/>
          <w:i/>
          <w:sz w:val="24"/>
        </w:rPr>
        <w:t>Anaes</w:t>
      </w:r>
      <w:proofErr w:type="spellEnd"/>
      <w:r w:rsidRPr="00B33302">
        <w:rPr>
          <w:b/>
          <w:i/>
          <w:sz w:val="24"/>
        </w:rPr>
        <w:t>),D.C.H.</w:t>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004764BD">
        <w:rPr>
          <w:i/>
          <w:sz w:val="24"/>
        </w:rPr>
        <w:t xml:space="preserve">            </w:t>
      </w:r>
      <w:proofErr w:type="gramStart"/>
      <w:r w:rsidRPr="00B33302">
        <w:rPr>
          <w:i/>
          <w:sz w:val="24"/>
        </w:rPr>
        <w:t>Associate Professor,</w:t>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t xml:space="preserve"> Dept. of </w:t>
      </w:r>
      <w:proofErr w:type="spellStart"/>
      <w:r w:rsidRPr="00B33302">
        <w:rPr>
          <w:i/>
          <w:sz w:val="24"/>
        </w:rPr>
        <w:t>Anaesthesiology</w:t>
      </w:r>
      <w:proofErr w:type="spellEnd"/>
      <w:r w:rsidRPr="00B33302">
        <w:rPr>
          <w:i/>
          <w:sz w:val="24"/>
        </w:rPr>
        <w:t xml:space="preserve">, </w:t>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Pr="00B33302">
        <w:rPr>
          <w:i/>
          <w:sz w:val="24"/>
        </w:rPr>
        <w:tab/>
      </w:r>
      <w:r w:rsidR="004764BD">
        <w:rPr>
          <w:i/>
          <w:sz w:val="24"/>
        </w:rPr>
        <w:t xml:space="preserve">           </w:t>
      </w:r>
      <w:proofErr w:type="spellStart"/>
      <w:r w:rsidRPr="00B33302">
        <w:rPr>
          <w:i/>
          <w:sz w:val="24"/>
        </w:rPr>
        <w:t>Kanyakumari</w:t>
      </w:r>
      <w:proofErr w:type="spellEnd"/>
      <w:r w:rsidRPr="00B33302">
        <w:rPr>
          <w:i/>
          <w:sz w:val="24"/>
        </w:rPr>
        <w:t xml:space="preserve"> Govt. Medical College, </w:t>
      </w:r>
      <w:proofErr w:type="spellStart"/>
      <w:r w:rsidRPr="00B33302">
        <w:rPr>
          <w:i/>
          <w:sz w:val="24"/>
        </w:rPr>
        <w:t>Asari</w:t>
      </w:r>
      <w:r w:rsidR="000A3493">
        <w:rPr>
          <w:i/>
          <w:sz w:val="24"/>
        </w:rPr>
        <w:t>p</w:t>
      </w:r>
      <w:r w:rsidRPr="00B33302">
        <w:rPr>
          <w:i/>
          <w:sz w:val="24"/>
        </w:rPr>
        <w:t>allam</w:t>
      </w:r>
      <w:proofErr w:type="spellEnd"/>
      <w:r>
        <w:t>.</w:t>
      </w:r>
      <w:proofErr w:type="gramEnd"/>
      <w:r>
        <w:tab/>
      </w:r>
    </w:p>
    <w:p w:rsidR="00B94D32" w:rsidRPr="003C66DB" w:rsidRDefault="00B94D32">
      <w:pPr>
        <w:rPr>
          <w:b/>
          <w:sz w:val="28"/>
        </w:rPr>
      </w:pPr>
      <w:r w:rsidRPr="003C66DB">
        <w:rPr>
          <w:b/>
          <w:sz w:val="28"/>
        </w:rPr>
        <w:t>Introduction</w:t>
      </w:r>
      <w:bookmarkStart w:id="0" w:name="_GoBack"/>
      <w:bookmarkEnd w:id="0"/>
    </w:p>
    <w:p w:rsidR="00B94D32" w:rsidRPr="003C66DB" w:rsidRDefault="00B94D32" w:rsidP="00687CC3">
      <w:pPr>
        <w:rPr>
          <w:sz w:val="24"/>
        </w:rPr>
      </w:pPr>
      <w:r w:rsidRPr="003C66DB">
        <w:rPr>
          <w:sz w:val="24"/>
        </w:rPr>
        <w:t>The new oral anticoagulants are approved for a variety of clinical syndromes, including the prevention of stroke in atrial fibrillation, acute coronary syndromes, treatment of venous thromboembolism (VTE), and prevention of venous thrombosis after total joint surgery or hip fracture.</w:t>
      </w:r>
      <w:r w:rsidR="00687CC3" w:rsidRPr="003C66DB">
        <w:rPr>
          <w:sz w:val="24"/>
        </w:rPr>
        <w:t xml:space="preserve"> Traditionally, the incidence of neurologic complications as a result of hemorrhagic complications from </w:t>
      </w:r>
      <w:proofErr w:type="spellStart"/>
      <w:r w:rsidR="00687CC3" w:rsidRPr="003C66DB">
        <w:rPr>
          <w:sz w:val="24"/>
        </w:rPr>
        <w:t>neuraxial</w:t>
      </w:r>
      <w:proofErr w:type="spellEnd"/>
      <w:r w:rsidR="00687CC3" w:rsidRPr="003C66DB">
        <w:rPr>
          <w:sz w:val="24"/>
        </w:rPr>
        <w:t xml:space="preserve"> anesthesia has been estimated to be approximately 1 in 150,000 for epidurals and 1 in 220,000 for spinal anesthetics. </w:t>
      </w:r>
      <w:r w:rsidR="00687CC3" w:rsidRPr="003C66DB">
        <w:rPr>
          <w:sz w:val="24"/>
          <w:vertAlign w:val="superscript"/>
        </w:rPr>
        <w:t>1</w:t>
      </w:r>
      <w:r w:rsidR="00687CC3" w:rsidRPr="003C66DB">
        <w:rPr>
          <w:sz w:val="24"/>
        </w:rPr>
        <w:t xml:space="preserve"> Recent epidemiologic </w:t>
      </w:r>
      <w:r w:rsidR="00716C4D" w:rsidRPr="003C66DB">
        <w:rPr>
          <w:sz w:val="24"/>
        </w:rPr>
        <w:t>survey</w:t>
      </w:r>
      <w:r w:rsidR="000A3493">
        <w:rPr>
          <w:sz w:val="24"/>
        </w:rPr>
        <w:t xml:space="preserve"> </w:t>
      </w:r>
      <w:r w:rsidR="00716C4D" w:rsidRPr="003C66DB">
        <w:rPr>
          <w:sz w:val="24"/>
        </w:rPr>
        <w:t>suggests</w:t>
      </w:r>
      <w:r w:rsidR="00687CC3" w:rsidRPr="003C66DB">
        <w:rPr>
          <w:sz w:val="24"/>
        </w:rPr>
        <w:t xml:space="preserve"> that the frequency is increasing and may be as high as 1 in 3000 in some patient populations.</w:t>
      </w:r>
    </w:p>
    <w:p w:rsidR="00716C4D" w:rsidRDefault="00716C4D" w:rsidP="00716C4D">
      <w:pPr>
        <w:rPr>
          <w:sz w:val="24"/>
        </w:rPr>
      </w:pPr>
      <w:r w:rsidRPr="003C66DB">
        <w:rPr>
          <w:sz w:val="24"/>
        </w:rPr>
        <w:t xml:space="preserve">In 2010, the American Society of Regional Anesthesia (ASRA) and the European and Scandinavian Societies of </w:t>
      </w:r>
      <w:proofErr w:type="spellStart"/>
      <w:r w:rsidRPr="003C66DB">
        <w:rPr>
          <w:sz w:val="24"/>
        </w:rPr>
        <w:t>Anaesthesiology</w:t>
      </w:r>
      <w:proofErr w:type="spellEnd"/>
      <w:r w:rsidRPr="003C66DB">
        <w:rPr>
          <w:sz w:val="24"/>
        </w:rPr>
        <w:t xml:space="preserve"> published guidelines for regional </w:t>
      </w:r>
      <w:proofErr w:type="spellStart"/>
      <w:r w:rsidRPr="003C66DB">
        <w:rPr>
          <w:sz w:val="24"/>
        </w:rPr>
        <w:t>anaesthesia</w:t>
      </w:r>
      <w:proofErr w:type="spellEnd"/>
      <w:r w:rsidRPr="003C66DB">
        <w:rPr>
          <w:sz w:val="24"/>
        </w:rPr>
        <w:t xml:space="preserve"> in patients on anticoagulants.</w:t>
      </w:r>
      <w:r w:rsidR="003C66DB" w:rsidRPr="003C66DB">
        <w:rPr>
          <w:sz w:val="24"/>
          <w:vertAlign w:val="superscript"/>
        </w:rPr>
        <w:t>2</w:t>
      </w:r>
      <w:r w:rsidRPr="003C66DB">
        <w:rPr>
          <w:sz w:val="24"/>
          <w:vertAlign w:val="superscript"/>
        </w:rPr>
        <w:t>–</w:t>
      </w:r>
      <w:r w:rsidR="003C66DB" w:rsidRPr="003C66DB">
        <w:rPr>
          <w:sz w:val="24"/>
          <w:vertAlign w:val="superscript"/>
        </w:rPr>
        <w:t>4</w:t>
      </w:r>
      <w:r w:rsidRPr="003C66DB">
        <w:rPr>
          <w:sz w:val="24"/>
        </w:rPr>
        <w:t xml:space="preserve"> However, several new oral anticoagulants have been approved by the US Food and Drug Administration (FDA) since these guidelines appeared: </w:t>
      </w:r>
      <w:proofErr w:type="spellStart"/>
      <w:r w:rsidRPr="003C66DB">
        <w:rPr>
          <w:sz w:val="24"/>
        </w:rPr>
        <w:t>dabigatran</w:t>
      </w:r>
      <w:proofErr w:type="spellEnd"/>
      <w:r w:rsidRPr="003C66DB">
        <w:rPr>
          <w:sz w:val="24"/>
        </w:rPr>
        <w:t xml:space="preserve"> in 2010; </w:t>
      </w:r>
      <w:proofErr w:type="spellStart"/>
      <w:r w:rsidRPr="003C66DB">
        <w:rPr>
          <w:sz w:val="24"/>
        </w:rPr>
        <w:t>rivaroxaban</w:t>
      </w:r>
      <w:proofErr w:type="spellEnd"/>
      <w:r w:rsidRPr="003C66DB">
        <w:rPr>
          <w:sz w:val="24"/>
        </w:rPr>
        <w:t xml:space="preserve"> and </w:t>
      </w:r>
      <w:proofErr w:type="spellStart"/>
      <w:r w:rsidRPr="003C66DB">
        <w:rPr>
          <w:sz w:val="24"/>
        </w:rPr>
        <w:t>ticagrelor</w:t>
      </w:r>
      <w:proofErr w:type="spellEnd"/>
      <w:r w:rsidRPr="003C66DB">
        <w:rPr>
          <w:sz w:val="24"/>
        </w:rPr>
        <w:t xml:space="preserve"> in 2011; and </w:t>
      </w:r>
      <w:proofErr w:type="spellStart"/>
      <w:r w:rsidRPr="003C66DB">
        <w:rPr>
          <w:sz w:val="24"/>
        </w:rPr>
        <w:t>apixaban</w:t>
      </w:r>
      <w:proofErr w:type="spellEnd"/>
      <w:r w:rsidRPr="003C66DB">
        <w:rPr>
          <w:sz w:val="24"/>
        </w:rPr>
        <w:t xml:space="preserve"> in 2012.</w:t>
      </w:r>
    </w:p>
    <w:p w:rsidR="00A8306A" w:rsidRPr="00A8306A" w:rsidRDefault="00A8306A" w:rsidP="00A8306A">
      <w:pPr>
        <w:rPr>
          <w:sz w:val="24"/>
        </w:rPr>
      </w:pPr>
      <w:r w:rsidRPr="00A8306A">
        <w:rPr>
          <w:sz w:val="24"/>
        </w:rPr>
        <w:t>Thefollowing will be discussed</w:t>
      </w:r>
      <w:r>
        <w:rPr>
          <w:sz w:val="24"/>
        </w:rPr>
        <w:t xml:space="preserve"> in this lecture notes:</w:t>
      </w:r>
    </w:p>
    <w:p w:rsidR="00A8306A" w:rsidRPr="00A8306A" w:rsidRDefault="00A8306A" w:rsidP="00A8306A">
      <w:pPr>
        <w:pStyle w:val="ListParagraph"/>
        <w:numPr>
          <w:ilvl w:val="0"/>
          <w:numId w:val="1"/>
        </w:numPr>
        <w:rPr>
          <w:sz w:val="24"/>
        </w:rPr>
      </w:pPr>
      <w:r w:rsidRPr="00A8306A">
        <w:rPr>
          <w:b/>
          <w:sz w:val="24"/>
        </w:rPr>
        <w:t xml:space="preserve">Anti-platelet </w:t>
      </w:r>
      <w:proofErr w:type="spellStart"/>
      <w:r w:rsidRPr="00A8306A">
        <w:rPr>
          <w:b/>
          <w:sz w:val="24"/>
        </w:rPr>
        <w:t>agents:</w:t>
      </w:r>
      <w:r w:rsidRPr="00A8306A">
        <w:rPr>
          <w:sz w:val="24"/>
        </w:rPr>
        <w:t>Prasugrel</w:t>
      </w:r>
      <w:proofErr w:type="spellEnd"/>
      <w:r w:rsidRPr="00A8306A">
        <w:rPr>
          <w:sz w:val="24"/>
        </w:rPr>
        <w:t xml:space="preserve"> and </w:t>
      </w:r>
      <w:proofErr w:type="spellStart"/>
      <w:r w:rsidRPr="00A8306A">
        <w:rPr>
          <w:sz w:val="24"/>
        </w:rPr>
        <w:t>Ticagrelor</w:t>
      </w:r>
      <w:proofErr w:type="spellEnd"/>
    </w:p>
    <w:p w:rsidR="003A53FD" w:rsidRPr="00DF0DE5" w:rsidRDefault="00A8306A" w:rsidP="003A53FD">
      <w:pPr>
        <w:pStyle w:val="ListParagraph"/>
        <w:numPr>
          <w:ilvl w:val="0"/>
          <w:numId w:val="1"/>
        </w:numPr>
        <w:spacing w:before="100" w:beforeAutospacing="1" w:after="100" w:afterAutospacing="1" w:line="240" w:lineRule="auto"/>
        <w:rPr>
          <w:sz w:val="24"/>
        </w:rPr>
      </w:pPr>
      <w:r w:rsidRPr="00DF0DE5">
        <w:rPr>
          <w:b/>
          <w:sz w:val="24"/>
        </w:rPr>
        <w:t>Anticoagulants:</w:t>
      </w:r>
      <w:r w:rsidRPr="00DF0DE5">
        <w:rPr>
          <w:sz w:val="24"/>
        </w:rPr>
        <w:t xml:space="preserve"> Direct thrombin inhibitor-</w:t>
      </w:r>
      <w:proofErr w:type="spellStart"/>
      <w:r w:rsidRPr="00DF0DE5">
        <w:rPr>
          <w:sz w:val="24"/>
        </w:rPr>
        <w:t>Dabigatran</w:t>
      </w:r>
      <w:proofErr w:type="spellEnd"/>
      <w:r w:rsidRPr="00DF0DE5">
        <w:rPr>
          <w:sz w:val="24"/>
        </w:rPr>
        <w:t xml:space="preserve">                                                                      Factor </w:t>
      </w:r>
      <w:proofErr w:type="spellStart"/>
      <w:r w:rsidRPr="00DF0DE5">
        <w:rPr>
          <w:sz w:val="24"/>
        </w:rPr>
        <w:t>Xa</w:t>
      </w:r>
      <w:proofErr w:type="spellEnd"/>
      <w:r w:rsidRPr="00DF0DE5">
        <w:rPr>
          <w:sz w:val="24"/>
        </w:rPr>
        <w:t xml:space="preserve"> inhibitors-</w:t>
      </w:r>
      <w:proofErr w:type="spellStart"/>
      <w:r w:rsidRPr="00DF0DE5">
        <w:rPr>
          <w:sz w:val="24"/>
        </w:rPr>
        <w:t>Rivaroxaban</w:t>
      </w:r>
      <w:proofErr w:type="spellEnd"/>
      <w:r w:rsidRPr="00DF0DE5">
        <w:rPr>
          <w:sz w:val="24"/>
        </w:rPr>
        <w:t xml:space="preserve">, </w:t>
      </w:r>
      <w:proofErr w:type="spellStart"/>
      <w:r w:rsidRPr="00DF0DE5">
        <w:rPr>
          <w:sz w:val="24"/>
        </w:rPr>
        <w:t>Apixaban</w:t>
      </w:r>
      <w:proofErr w:type="spellEnd"/>
      <w:r w:rsidRPr="00DF0DE5">
        <w:rPr>
          <w:sz w:val="24"/>
        </w:rPr>
        <w:t xml:space="preserve"> and </w:t>
      </w:r>
      <w:proofErr w:type="spellStart"/>
      <w:r w:rsidRPr="00DF0DE5">
        <w:rPr>
          <w:sz w:val="24"/>
        </w:rPr>
        <w:t>Fondaparinux</w:t>
      </w:r>
      <w:proofErr w:type="spellEnd"/>
    </w:p>
    <w:p w:rsidR="00A8306A" w:rsidRDefault="00A8306A" w:rsidP="00A8306A">
      <w:pPr>
        <w:rPr>
          <w:b/>
          <w:sz w:val="28"/>
        </w:rPr>
      </w:pPr>
      <w:r w:rsidRPr="00A8306A">
        <w:rPr>
          <w:b/>
          <w:sz w:val="28"/>
        </w:rPr>
        <w:t>NEW ANTI-PLATELET AGENTS</w:t>
      </w:r>
    </w:p>
    <w:p w:rsidR="009E6D39" w:rsidRDefault="00C24DE8" w:rsidP="00A8306A">
      <w:pPr>
        <w:rPr>
          <w:sz w:val="24"/>
        </w:rPr>
      </w:pPr>
      <w:r w:rsidRPr="00C24DE8">
        <w:rPr>
          <w:sz w:val="24"/>
        </w:rPr>
        <w:t xml:space="preserve">There are three different classes of platelet-inhibiting drugs: </w:t>
      </w:r>
    </w:p>
    <w:p w:rsidR="009E6D39" w:rsidRPr="009E6D39" w:rsidRDefault="009E6D39" w:rsidP="009E6D39">
      <w:pPr>
        <w:pStyle w:val="ListParagraph"/>
        <w:numPr>
          <w:ilvl w:val="0"/>
          <w:numId w:val="3"/>
        </w:numPr>
        <w:rPr>
          <w:sz w:val="24"/>
        </w:rPr>
      </w:pPr>
      <w:r w:rsidRPr="009E6D39">
        <w:rPr>
          <w:sz w:val="24"/>
        </w:rPr>
        <w:t>Cyclooxygenase-1</w:t>
      </w:r>
      <w:r w:rsidR="00C24DE8" w:rsidRPr="009E6D39">
        <w:rPr>
          <w:sz w:val="24"/>
        </w:rPr>
        <w:t xml:space="preserve"> (COX-1) inhibitors (aspirin)</w:t>
      </w:r>
    </w:p>
    <w:p w:rsidR="009E6D39" w:rsidRPr="009E6D39" w:rsidRDefault="00C24DE8" w:rsidP="009E6D39">
      <w:pPr>
        <w:pStyle w:val="ListParagraph"/>
        <w:numPr>
          <w:ilvl w:val="0"/>
          <w:numId w:val="3"/>
        </w:numPr>
        <w:rPr>
          <w:sz w:val="24"/>
        </w:rPr>
      </w:pPr>
      <w:r w:rsidRPr="009E6D39">
        <w:rPr>
          <w:sz w:val="24"/>
        </w:rPr>
        <w:t>ADP P2Y12 receptor antagonists (</w:t>
      </w:r>
      <w:proofErr w:type="spellStart"/>
      <w:r w:rsidRPr="009E6D39">
        <w:rPr>
          <w:sz w:val="24"/>
        </w:rPr>
        <w:t>thienopyridines</w:t>
      </w:r>
      <w:proofErr w:type="spellEnd"/>
      <w:r w:rsidRPr="009E6D39">
        <w:rPr>
          <w:sz w:val="24"/>
        </w:rPr>
        <w:t xml:space="preserve">) </w:t>
      </w:r>
    </w:p>
    <w:p w:rsidR="009E6D39" w:rsidRPr="009E6D39" w:rsidRDefault="009E6D39" w:rsidP="009E6D39">
      <w:pPr>
        <w:pStyle w:val="ListParagraph"/>
        <w:numPr>
          <w:ilvl w:val="0"/>
          <w:numId w:val="3"/>
        </w:numPr>
        <w:rPr>
          <w:sz w:val="24"/>
        </w:rPr>
      </w:pPr>
      <w:r w:rsidRPr="009E6D39">
        <w:rPr>
          <w:sz w:val="24"/>
        </w:rPr>
        <w:t>Platelet</w:t>
      </w:r>
      <w:r w:rsidR="00C24DE8" w:rsidRPr="009E6D39">
        <w:rPr>
          <w:sz w:val="24"/>
        </w:rPr>
        <w:t xml:space="preserve"> glycoprotein (GP) </w:t>
      </w:r>
      <w:proofErr w:type="spellStart"/>
      <w:r w:rsidR="00C24DE8" w:rsidRPr="009E6D39">
        <w:rPr>
          <w:sz w:val="24"/>
        </w:rPr>
        <w:t>IIb</w:t>
      </w:r>
      <w:proofErr w:type="spellEnd"/>
      <w:r w:rsidR="00C24DE8" w:rsidRPr="009E6D39">
        <w:rPr>
          <w:sz w:val="24"/>
        </w:rPr>
        <w:t>/</w:t>
      </w:r>
      <w:proofErr w:type="spellStart"/>
      <w:r w:rsidR="00C24DE8" w:rsidRPr="009E6D39">
        <w:rPr>
          <w:sz w:val="24"/>
        </w:rPr>
        <w:t>IIIa</w:t>
      </w:r>
      <w:proofErr w:type="spellEnd"/>
      <w:r w:rsidR="00C24DE8" w:rsidRPr="009E6D39">
        <w:rPr>
          <w:sz w:val="24"/>
        </w:rPr>
        <w:t xml:space="preserve"> inhibitors </w:t>
      </w:r>
    </w:p>
    <w:p w:rsidR="00C24DE8" w:rsidRDefault="00C24DE8" w:rsidP="00A8306A">
      <w:pPr>
        <w:rPr>
          <w:sz w:val="24"/>
        </w:rPr>
      </w:pPr>
      <w:proofErr w:type="gramStart"/>
      <w:r w:rsidRPr="00C24DE8">
        <w:rPr>
          <w:sz w:val="24"/>
        </w:rPr>
        <w:t>which</w:t>
      </w:r>
      <w:proofErr w:type="gramEnd"/>
      <w:r w:rsidRPr="00C24DE8">
        <w:rPr>
          <w:sz w:val="24"/>
        </w:rPr>
        <w:t xml:space="preserve"> are mostly used for the prevention and treatment of </w:t>
      </w:r>
      <w:proofErr w:type="spellStart"/>
      <w:r w:rsidRPr="00C24DE8">
        <w:rPr>
          <w:sz w:val="24"/>
        </w:rPr>
        <w:t>atherothrombotic</w:t>
      </w:r>
      <w:proofErr w:type="spellEnd"/>
      <w:r w:rsidRPr="00C24DE8">
        <w:rPr>
          <w:sz w:val="24"/>
        </w:rPr>
        <w:t xml:space="preserve"> disorders</w:t>
      </w:r>
      <w:r>
        <w:rPr>
          <w:sz w:val="24"/>
        </w:rPr>
        <w:t>.</w:t>
      </w:r>
    </w:p>
    <w:p w:rsidR="009E6D39" w:rsidRDefault="00521E44" w:rsidP="00A8306A">
      <w:pPr>
        <w:rPr>
          <w:sz w:val="24"/>
        </w:rPr>
      </w:pPr>
      <w:r w:rsidRPr="00521E44">
        <w:rPr>
          <w:sz w:val="24"/>
        </w:rPr>
        <w:t xml:space="preserve">Aspirin inhibits thromboxane A2 (TXA2) synthase through blockade of the COX-1 enzyme. </w:t>
      </w:r>
      <w:proofErr w:type="spellStart"/>
      <w:r w:rsidRPr="00521E44">
        <w:rPr>
          <w:sz w:val="24"/>
        </w:rPr>
        <w:t>Picotamide</w:t>
      </w:r>
      <w:proofErr w:type="spellEnd"/>
      <w:r w:rsidRPr="00521E44">
        <w:rPr>
          <w:sz w:val="24"/>
        </w:rPr>
        <w:t xml:space="preserve">, </w:t>
      </w:r>
      <w:proofErr w:type="spellStart"/>
      <w:r w:rsidRPr="00521E44">
        <w:rPr>
          <w:sz w:val="24"/>
        </w:rPr>
        <w:t>ramatroban</w:t>
      </w:r>
      <w:proofErr w:type="spellEnd"/>
      <w:r w:rsidRPr="00521E44">
        <w:rPr>
          <w:sz w:val="24"/>
        </w:rPr>
        <w:t xml:space="preserve">, and </w:t>
      </w:r>
      <w:proofErr w:type="spellStart"/>
      <w:r w:rsidRPr="00521E44">
        <w:rPr>
          <w:sz w:val="24"/>
        </w:rPr>
        <w:t>ridogrel</w:t>
      </w:r>
      <w:proofErr w:type="spellEnd"/>
      <w:r w:rsidRPr="00521E44">
        <w:rPr>
          <w:sz w:val="24"/>
        </w:rPr>
        <w:t xml:space="preserve"> inhibit both TXA2 synthase and TXA2 receptors. </w:t>
      </w:r>
    </w:p>
    <w:p w:rsidR="009E6D39" w:rsidRDefault="00257552" w:rsidP="00A8306A">
      <w:pPr>
        <w:rPr>
          <w:sz w:val="24"/>
        </w:rPr>
      </w:pPr>
      <w:r w:rsidRPr="00257552">
        <w:rPr>
          <w:sz w:val="24"/>
        </w:rPr>
        <w:lastRenderedPageBreak/>
        <w:t xml:space="preserve">Among the P2Y12 receptor inhibitors, the group of </w:t>
      </w:r>
      <w:proofErr w:type="spellStart"/>
      <w:proofErr w:type="gramStart"/>
      <w:r w:rsidRPr="00257552">
        <w:rPr>
          <w:sz w:val="24"/>
        </w:rPr>
        <w:t>thienopyridines</w:t>
      </w:r>
      <w:proofErr w:type="spellEnd"/>
      <w:r w:rsidR="000A3493">
        <w:rPr>
          <w:sz w:val="24"/>
        </w:rPr>
        <w:t xml:space="preserve"> </w:t>
      </w:r>
      <w:r w:rsidRPr="00257552">
        <w:rPr>
          <w:sz w:val="24"/>
        </w:rPr>
        <w:t xml:space="preserve"> include</w:t>
      </w:r>
      <w:proofErr w:type="gramEnd"/>
      <w:r w:rsidR="000A3493">
        <w:rPr>
          <w:sz w:val="24"/>
        </w:rPr>
        <w:t xml:space="preserve"> </w:t>
      </w:r>
      <w:proofErr w:type="spellStart"/>
      <w:r w:rsidRPr="00257552">
        <w:rPr>
          <w:sz w:val="24"/>
        </w:rPr>
        <w:t>ticlopidine</w:t>
      </w:r>
      <w:proofErr w:type="spellEnd"/>
      <w:r w:rsidRPr="00257552">
        <w:rPr>
          <w:sz w:val="24"/>
        </w:rPr>
        <w:t xml:space="preserve">, </w:t>
      </w:r>
      <w:proofErr w:type="spellStart"/>
      <w:r w:rsidRPr="00257552">
        <w:rPr>
          <w:sz w:val="24"/>
        </w:rPr>
        <w:t>clopidogrel</w:t>
      </w:r>
      <w:proofErr w:type="spellEnd"/>
      <w:r w:rsidRPr="00257552">
        <w:rPr>
          <w:sz w:val="24"/>
        </w:rPr>
        <w:t xml:space="preserve"> and </w:t>
      </w:r>
      <w:proofErr w:type="spellStart"/>
      <w:r w:rsidRPr="00257552">
        <w:rPr>
          <w:sz w:val="24"/>
        </w:rPr>
        <w:t>prasugrel</w:t>
      </w:r>
      <w:proofErr w:type="spellEnd"/>
      <w:r w:rsidRPr="00257552">
        <w:rPr>
          <w:sz w:val="24"/>
        </w:rPr>
        <w:t xml:space="preserve">, all of which are orally administered </w:t>
      </w:r>
      <w:proofErr w:type="spellStart"/>
      <w:r w:rsidRPr="00257552">
        <w:rPr>
          <w:sz w:val="24"/>
        </w:rPr>
        <w:t>prodrugs</w:t>
      </w:r>
      <w:proofErr w:type="spellEnd"/>
      <w:r w:rsidRPr="00257552">
        <w:rPr>
          <w:sz w:val="24"/>
        </w:rPr>
        <w:t xml:space="preserve"> leading to irreversible</w:t>
      </w:r>
      <w:r w:rsidR="000A3493">
        <w:rPr>
          <w:sz w:val="24"/>
        </w:rPr>
        <w:t xml:space="preserve"> </w:t>
      </w:r>
      <w:r w:rsidRPr="00257552">
        <w:rPr>
          <w:sz w:val="24"/>
        </w:rPr>
        <w:t xml:space="preserve">ADP P2Y12 receptor inhibition </w:t>
      </w:r>
      <w:r w:rsidRPr="00521E44">
        <w:rPr>
          <w:sz w:val="24"/>
        </w:rPr>
        <w:t>and block intracellular pathways leading to platelet activation.</w:t>
      </w:r>
      <w:r w:rsidR="000A3493">
        <w:rPr>
          <w:sz w:val="24"/>
        </w:rPr>
        <w:t xml:space="preserve"> </w:t>
      </w:r>
      <w:r w:rsidRPr="00257552">
        <w:rPr>
          <w:sz w:val="24"/>
        </w:rPr>
        <w:t>Non-</w:t>
      </w:r>
      <w:proofErr w:type="spellStart"/>
      <w:r w:rsidRPr="00257552">
        <w:rPr>
          <w:sz w:val="24"/>
        </w:rPr>
        <w:t>thienopyridine</w:t>
      </w:r>
      <w:proofErr w:type="spellEnd"/>
      <w:r w:rsidRPr="00257552">
        <w:rPr>
          <w:sz w:val="24"/>
        </w:rPr>
        <w:t xml:space="preserve"> derivatives </w:t>
      </w:r>
      <w:proofErr w:type="gramStart"/>
      <w:r w:rsidRPr="00257552">
        <w:rPr>
          <w:sz w:val="24"/>
        </w:rPr>
        <w:t xml:space="preserve">including </w:t>
      </w:r>
      <w:r w:rsidR="000A3493">
        <w:rPr>
          <w:sz w:val="24"/>
        </w:rPr>
        <w:t xml:space="preserve"> </w:t>
      </w:r>
      <w:proofErr w:type="spellStart"/>
      <w:r w:rsidRPr="00257552">
        <w:rPr>
          <w:sz w:val="24"/>
        </w:rPr>
        <w:t>ticagrelor</w:t>
      </w:r>
      <w:proofErr w:type="spellEnd"/>
      <w:proofErr w:type="gramEnd"/>
      <w:r w:rsidRPr="00257552">
        <w:rPr>
          <w:sz w:val="24"/>
        </w:rPr>
        <w:t xml:space="preserve">, </w:t>
      </w:r>
      <w:proofErr w:type="spellStart"/>
      <w:r w:rsidRPr="00257552">
        <w:rPr>
          <w:sz w:val="24"/>
        </w:rPr>
        <w:t>cangrelor</w:t>
      </w:r>
      <w:proofErr w:type="spellEnd"/>
      <w:r w:rsidRPr="00257552">
        <w:rPr>
          <w:sz w:val="24"/>
        </w:rPr>
        <w:t xml:space="preserve"> and </w:t>
      </w:r>
      <w:proofErr w:type="spellStart"/>
      <w:r w:rsidRPr="00257552">
        <w:rPr>
          <w:sz w:val="24"/>
        </w:rPr>
        <w:t>elinogrel</w:t>
      </w:r>
      <w:proofErr w:type="spellEnd"/>
      <w:r w:rsidRPr="00257552">
        <w:rPr>
          <w:sz w:val="24"/>
        </w:rPr>
        <w:t xml:space="preserve"> do not require metabolic activation and lead to a reversible P2Y12 receptor inhibition in contrast to </w:t>
      </w:r>
      <w:proofErr w:type="spellStart"/>
      <w:r w:rsidRPr="00257552">
        <w:rPr>
          <w:sz w:val="24"/>
        </w:rPr>
        <w:t>thienopyridines</w:t>
      </w:r>
      <w:proofErr w:type="spellEnd"/>
      <w:r w:rsidRPr="00257552">
        <w:rPr>
          <w:sz w:val="24"/>
        </w:rPr>
        <w:t>.</w:t>
      </w:r>
    </w:p>
    <w:p w:rsidR="00521E44" w:rsidRPr="00C24DE8" w:rsidRDefault="00521E44" w:rsidP="00A8306A">
      <w:pPr>
        <w:rPr>
          <w:sz w:val="24"/>
        </w:rPr>
      </w:pPr>
      <w:r w:rsidRPr="00521E44">
        <w:rPr>
          <w:sz w:val="24"/>
        </w:rPr>
        <w:t xml:space="preserve">Aspirin an P2Y12 receptor antagonists have synergistic effects in blocking the final common pathway leading to platelet aggregation represented by GP </w:t>
      </w:r>
      <w:proofErr w:type="spellStart"/>
      <w:r w:rsidRPr="00521E44">
        <w:rPr>
          <w:sz w:val="24"/>
        </w:rPr>
        <w:t>IIb</w:t>
      </w:r>
      <w:proofErr w:type="spellEnd"/>
      <w:r w:rsidRPr="00521E44">
        <w:rPr>
          <w:sz w:val="24"/>
        </w:rPr>
        <w:t>/</w:t>
      </w:r>
      <w:proofErr w:type="spellStart"/>
      <w:r w:rsidRPr="00521E44">
        <w:rPr>
          <w:sz w:val="24"/>
        </w:rPr>
        <w:t>IIIa</w:t>
      </w:r>
      <w:proofErr w:type="spellEnd"/>
      <w:r w:rsidRPr="00521E44">
        <w:rPr>
          <w:sz w:val="24"/>
        </w:rPr>
        <w:t xml:space="preserve"> receptor, which may be directly inhibited by intravenous GP </w:t>
      </w:r>
      <w:proofErr w:type="spellStart"/>
      <w:r w:rsidRPr="00521E44">
        <w:rPr>
          <w:sz w:val="24"/>
        </w:rPr>
        <w:t>IIb</w:t>
      </w:r>
      <w:proofErr w:type="spellEnd"/>
      <w:r w:rsidRPr="00521E44">
        <w:rPr>
          <w:sz w:val="24"/>
        </w:rPr>
        <w:t>/</w:t>
      </w:r>
      <w:proofErr w:type="spellStart"/>
      <w:r w:rsidRPr="00521E44">
        <w:rPr>
          <w:sz w:val="24"/>
        </w:rPr>
        <w:t>IIIa</w:t>
      </w:r>
      <w:proofErr w:type="spellEnd"/>
      <w:r w:rsidRPr="00521E44">
        <w:rPr>
          <w:sz w:val="24"/>
        </w:rPr>
        <w:t xml:space="preserve"> receptor </w:t>
      </w:r>
      <w:proofErr w:type="gramStart"/>
      <w:r w:rsidRPr="00521E44">
        <w:rPr>
          <w:sz w:val="24"/>
        </w:rPr>
        <w:t>antagonists</w:t>
      </w:r>
      <w:r w:rsidR="009E236A">
        <w:t>(</w:t>
      </w:r>
      <w:proofErr w:type="spellStart"/>
      <w:proofErr w:type="gramEnd"/>
      <w:r w:rsidR="009E236A">
        <w:t>Abciximab</w:t>
      </w:r>
      <w:proofErr w:type="spellEnd"/>
      <w:r w:rsidR="009E236A">
        <w:t xml:space="preserve">, </w:t>
      </w:r>
      <w:proofErr w:type="spellStart"/>
      <w:r w:rsidR="009E236A">
        <w:t>Eptifibatide</w:t>
      </w:r>
      <w:proofErr w:type="spellEnd"/>
      <w:r w:rsidR="009E236A">
        <w:t xml:space="preserve">, and </w:t>
      </w:r>
      <w:proofErr w:type="spellStart"/>
      <w:r w:rsidR="009E236A">
        <w:t>Tirofiban</w:t>
      </w:r>
      <w:proofErr w:type="spellEnd"/>
      <w:r w:rsidR="009E236A">
        <w:t>)</w:t>
      </w:r>
      <w:r w:rsidRPr="00521E44">
        <w:rPr>
          <w:sz w:val="24"/>
        </w:rPr>
        <w:t>.</w:t>
      </w:r>
      <w:proofErr w:type="spellStart"/>
      <w:r w:rsidRPr="00521E44">
        <w:rPr>
          <w:sz w:val="24"/>
        </w:rPr>
        <w:t>Cilostazol</w:t>
      </w:r>
      <w:proofErr w:type="spellEnd"/>
      <w:r w:rsidRPr="00521E44">
        <w:rPr>
          <w:sz w:val="24"/>
        </w:rPr>
        <w:t xml:space="preserve"> is an inhibitor of </w:t>
      </w:r>
      <w:proofErr w:type="spellStart"/>
      <w:r w:rsidRPr="00521E44">
        <w:rPr>
          <w:sz w:val="24"/>
        </w:rPr>
        <w:t>phosphodiesterase</w:t>
      </w:r>
      <w:proofErr w:type="spellEnd"/>
      <w:r w:rsidRPr="00521E44">
        <w:rPr>
          <w:sz w:val="24"/>
        </w:rPr>
        <w:t xml:space="preserve"> (PDE) III, which inhibits platelets through an increase in </w:t>
      </w:r>
      <w:proofErr w:type="spellStart"/>
      <w:r w:rsidRPr="00521E44">
        <w:rPr>
          <w:sz w:val="24"/>
        </w:rPr>
        <w:t>intraplatelet</w:t>
      </w:r>
      <w:proofErr w:type="spellEnd"/>
      <w:r w:rsidR="00EC2076">
        <w:rPr>
          <w:sz w:val="24"/>
        </w:rPr>
        <w:t xml:space="preserve"> </w:t>
      </w:r>
      <w:proofErr w:type="spellStart"/>
      <w:r w:rsidRPr="00521E44">
        <w:rPr>
          <w:sz w:val="24"/>
        </w:rPr>
        <w:t>cAMP</w:t>
      </w:r>
      <w:proofErr w:type="spellEnd"/>
      <w:r w:rsidRPr="00521E44">
        <w:rPr>
          <w:sz w:val="24"/>
        </w:rPr>
        <w:t xml:space="preserve"> levels. E5555 and SCH 530348 are thrombin receptor antagonists that block the PAR-1 subtype.</w:t>
      </w:r>
    </w:p>
    <w:p w:rsidR="00C24DE8" w:rsidRDefault="00C24DE8" w:rsidP="00C24DE8">
      <w:pPr>
        <w:rPr>
          <w:sz w:val="24"/>
        </w:rPr>
      </w:pPr>
      <w:r>
        <w:rPr>
          <w:noProof/>
          <w:sz w:val="24"/>
          <w:lang w:val="en-IN" w:eastAsia="en-IN" w:bidi="ta-IN"/>
        </w:rPr>
        <w:drawing>
          <wp:inline distT="0" distB="0" distL="0" distR="0">
            <wp:extent cx="4524375" cy="3273817"/>
            <wp:effectExtent l="19050" t="0" r="9525" b="0"/>
            <wp:docPr id="2" name="Picture 2" descr="C:\Users\admin\Desktop\Anti coagulant\PMC2660456_zdc004097544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nti coagulant\PMC2660456_zdc0040975440001.png"/>
                    <pic:cNvPicPr>
                      <a:picLocks noChangeAspect="1" noChangeArrowheads="1"/>
                    </pic:cNvPicPr>
                  </pic:nvPicPr>
                  <pic:blipFill>
                    <a:blip r:embed="rId5"/>
                    <a:srcRect/>
                    <a:stretch>
                      <a:fillRect/>
                    </a:stretch>
                  </pic:blipFill>
                  <pic:spPr bwMode="auto">
                    <a:xfrm>
                      <a:off x="0" y="0"/>
                      <a:ext cx="4524375" cy="3273817"/>
                    </a:xfrm>
                    <a:prstGeom prst="rect">
                      <a:avLst/>
                    </a:prstGeom>
                    <a:noFill/>
                    <a:ln w="9525">
                      <a:noFill/>
                      <a:miter lim="800000"/>
                      <a:headEnd/>
                      <a:tailEnd/>
                    </a:ln>
                  </pic:spPr>
                </pic:pic>
              </a:graphicData>
            </a:graphic>
          </wp:inline>
        </w:drawing>
      </w:r>
    </w:p>
    <w:p w:rsidR="00521E44" w:rsidRDefault="00521E44" w:rsidP="00C24DE8">
      <w:r>
        <w:rPr>
          <w:sz w:val="24"/>
        </w:rPr>
        <w:t xml:space="preserve">Figure2: </w:t>
      </w:r>
      <w:r>
        <w:t xml:space="preserve">Mechanisms of action of antiplatelet agents. </w:t>
      </w:r>
      <w:proofErr w:type="gramStart"/>
      <w:r>
        <w:t>(Adapted from Schafer AI: Antiplatelet therapy.</w:t>
      </w:r>
      <w:proofErr w:type="gramEnd"/>
      <w:r>
        <w:t xml:space="preserve"> Am J Med 101:199–209, 1996.) </w:t>
      </w:r>
    </w:p>
    <w:p w:rsidR="009E6D39" w:rsidRDefault="009E6D39" w:rsidP="009E6D39">
      <w:pPr>
        <w:rPr>
          <w:sz w:val="24"/>
        </w:rPr>
      </w:pPr>
      <w:r w:rsidRPr="009E6D39">
        <w:rPr>
          <w:sz w:val="24"/>
        </w:rPr>
        <w:t>Two new</w:t>
      </w:r>
      <w:r w:rsidR="00EC2076">
        <w:rPr>
          <w:sz w:val="24"/>
        </w:rPr>
        <w:t xml:space="preserve"> </w:t>
      </w:r>
      <w:proofErr w:type="spellStart"/>
      <w:r w:rsidRPr="009E6D39">
        <w:rPr>
          <w:sz w:val="24"/>
        </w:rPr>
        <w:t>antiplatelet</w:t>
      </w:r>
      <w:proofErr w:type="spellEnd"/>
      <w:r w:rsidRPr="009E6D39">
        <w:rPr>
          <w:sz w:val="24"/>
        </w:rPr>
        <w:t xml:space="preserve"> agents have recently been approved by NICE for use as part of dual anti-platelet therapy</w:t>
      </w:r>
      <w:r w:rsidR="00EC2076">
        <w:rPr>
          <w:sz w:val="24"/>
        </w:rPr>
        <w:t xml:space="preserve"> </w:t>
      </w:r>
      <w:r w:rsidRPr="009E6D39">
        <w:rPr>
          <w:sz w:val="24"/>
        </w:rPr>
        <w:t>with aspirin</w:t>
      </w:r>
      <w:r>
        <w:rPr>
          <w:sz w:val="24"/>
        </w:rPr>
        <w:t>. Figure 3</w:t>
      </w:r>
    </w:p>
    <w:p w:rsidR="00A34D58" w:rsidRDefault="00A34D58" w:rsidP="00A34D58">
      <w:r w:rsidRPr="00A34D58">
        <w:t xml:space="preserve">Figure 3: NICE Recommendations for </w:t>
      </w:r>
      <w:proofErr w:type="spellStart"/>
      <w:proofErr w:type="gramStart"/>
      <w:r w:rsidRPr="00A34D58">
        <w:t>Prasugrel</w:t>
      </w:r>
      <w:proofErr w:type="spellEnd"/>
      <w:r w:rsidRPr="00A34D58">
        <w:t xml:space="preserve"> ,</w:t>
      </w:r>
      <w:proofErr w:type="spellStart"/>
      <w:r w:rsidRPr="00A34D58">
        <w:t>Ticagrelor</w:t>
      </w:r>
      <w:proofErr w:type="spellEnd"/>
      <w:proofErr w:type="gramEnd"/>
      <w:r w:rsidRPr="00A34D58">
        <w:t xml:space="preserve"> and </w:t>
      </w:r>
      <w:proofErr w:type="spellStart"/>
      <w:r w:rsidRPr="00A34D58">
        <w:t>Clopidogrel</w:t>
      </w:r>
      <w:proofErr w:type="spellEnd"/>
      <w:r w:rsidRPr="00A34D58">
        <w:t xml:space="preserve"> are indicated below as part of dual therapy with Aspirin</w:t>
      </w:r>
    </w:p>
    <w:p w:rsidR="009E6D39" w:rsidRDefault="009E6D39" w:rsidP="009E6D39">
      <w:pPr>
        <w:rPr>
          <w:sz w:val="24"/>
        </w:rPr>
      </w:pPr>
      <w:r>
        <w:rPr>
          <w:noProof/>
          <w:sz w:val="24"/>
          <w:lang w:val="en-IN" w:eastAsia="en-IN" w:bidi="ta-IN"/>
        </w:rPr>
        <w:lastRenderedPageBreak/>
        <w:drawing>
          <wp:inline distT="0" distB="0" distL="0" distR="0">
            <wp:extent cx="5943600" cy="3305086"/>
            <wp:effectExtent l="19050" t="0" r="0" b="0"/>
            <wp:docPr id="3" name="Picture 3" descr="C:\Users\admin\Desktop\Anti coagulant\Anti platelet dr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nti coagulant\Anti platelet drugs.jpg"/>
                    <pic:cNvPicPr>
                      <a:picLocks noChangeAspect="1" noChangeArrowheads="1"/>
                    </pic:cNvPicPr>
                  </pic:nvPicPr>
                  <pic:blipFill>
                    <a:blip r:embed="rId6"/>
                    <a:srcRect/>
                    <a:stretch>
                      <a:fillRect/>
                    </a:stretch>
                  </pic:blipFill>
                  <pic:spPr bwMode="auto">
                    <a:xfrm>
                      <a:off x="0" y="0"/>
                      <a:ext cx="5943600" cy="3305086"/>
                    </a:xfrm>
                    <a:prstGeom prst="rect">
                      <a:avLst/>
                    </a:prstGeom>
                    <a:noFill/>
                    <a:ln w="9525">
                      <a:noFill/>
                      <a:miter lim="800000"/>
                      <a:headEnd/>
                      <a:tailEnd/>
                    </a:ln>
                  </pic:spPr>
                </pic:pic>
              </a:graphicData>
            </a:graphic>
          </wp:inline>
        </w:drawing>
      </w:r>
    </w:p>
    <w:p w:rsidR="00A34D58" w:rsidRDefault="00A34D58" w:rsidP="00A34D58">
      <w:pPr>
        <w:rPr>
          <w:b/>
          <w:sz w:val="28"/>
        </w:rPr>
      </w:pPr>
      <w:proofErr w:type="spellStart"/>
      <w:r w:rsidRPr="00A34D58">
        <w:rPr>
          <w:b/>
          <w:sz w:val="28"/>
        </w:rPr>
        <w:t>Prasugrel</w:t>
      </w:r>
      <w:proofErr w:type="spellEnd"/>
      <w:r>
        <w:rPr>
          <w:b/>
          <w:sz w:val="28"/>
        </w:rPr>
        <w:t>:</w:t>
      </w:r>
    </w:p>
    <w:p w:rsidR="00FF5389" w:rsidRDefault="001D2FC1" w:rsidP="001D2FC1">
      <w:pPr>
        <w:rPr>
          <w:sz w:val="24"/>
        </w:rPr>
      </w:pPr>
      <w:proofErr w:type="spellStart"/>
      <w:r w:rsidRPr="001D2FC1">
        <w:rPr>
          <w:sz w:val="24"/>
        </w:rPr>
        <w:t>Prasugrel</w:t>
      </w:r>
      <w:proofErr w:type="spellEnd"/>
      <w:r w:rsidR="00EC2076">
        <w:rPr>
          <w:sz w:val="24"/>
        </w:rPr>
        <w:t xml:space="preserve"> </w:t>
      </w:r>
      <w:r w:rsidR="00113101" w:rsidRPr="00113101">
        <w:rPr>
          <w:sz w:val="24"/>
        </w:rPr>
        <w:t xml:space="preserve">is a new </w:t>
      </w:r>
      <w:proofErr w:type="spellStart"/>
      <w:r w:rsidR="00113101" w:rsidRPr="00113101">
        <w:rPr>
          <w:sz w:val="24"/>
        </w:rPr>
        <w:t>thienopyridine</w:t>
      </w:r>
      <w:proofErr w:type="spellEnd"/>
      <w:r w:rsidRPr="001D2FC1">
        <w:rPr>
          <w:sz w:val="24"/>
        </w:rPr>
        <w:t>, is an orally administered irreversible platelet adenosine P2Y12 receptor</w:t>
      </w:r>
      <w:r w:rsidR="00EC2076">
        <w:rPr>
          <w:sz w:val="24"/>
        </w:rPr>
        <w:t xml:space="preserve"> </w:t>
      </w:r>
      <w:r w:rsidRPr="001D2FC1">
        <w:rPr>
          <w:sz w:val="24"/>
        </w:rPr>
        <w:t>antagonist</w:t>
      </w:r>
      <w:r w:rsidR="00FF5389">
        <w:rPr>
          <w:sz w:val="24"/>
        </w:rPr>
        <w:t xml:space="preserve">. </w:t>
      </w:r>
      <w:proofErr w:type="spellStart"/>
      <w:r w:rsidR="00FF5389" w:rsidRPr="00FF5389">
        <w:rPr>
          <w:sz w:val="24"/>
        </w:rPr>
        <w:t>Prasugrel</w:t>
      </w:r>
      <w:proofErr w:type="spellEnd"/>
      <w:r w:rsidR="00FF5389" w:rsidRPr="00FF5389">
        <w:rPr>
          <w:sz w:val="24"/>
        </w:rPr>
        <w:t xml:space="preserve"> is a </w:t>
      </w:r>
      <w:proofErr w:type="spellStart"/>
      <w:r w:rsidR="00FF5389" w:rsidRPr="00FF5389">
        <w:rPr>
          <w:sz w:val="24"/>
        </w:rPr>
        <w:t>prodrug</w:t>
      </w:r>
      <w:proofErr w:type="spellEnd"/>
      <w:r w:rsidR="00FF5389" w:rsidRPr="00FF5389">
        <w:rPr>
          <w:sz w:val="24"/>
        </w:rPr>
        <w:t xml:space="preserve"> that first undergoes a rapid de-esterification to an intermediate </w:t>
      </w:r>
      <w:proofErr w:type="spellStart"/>
      <w:r w:rsidR="00FF5389" w:rsidRPr="00FF5389">
        <w:rPr>
          <w:sz w:val="24"/>
        </w:rPr>
        <w:t>thiolactone</w:t>
      </w:r>
      <w:proofErr w:type="spellEnd"/>
      <w:r w:rsidR="00FF5389" w:rsidRPr="00FF5389">
        <w:rPr>
          <w:sz w:val="24"/>
        </w:rPr>
        <w:t xml:space="preserve">, which is then converted in the liver to the active metabolite by CYP </w:t>
      </w:r>
      <w:proofErr w:type="spellStart"/>
      <w:r w:rsidR="00FF5389" w:rsidRPr="00FF5389">
        <w:rPr>
          <w:sz w:val="24"/>
        </w:rPr>
        <w:t>isoenzymes</w:t>
      </w:r>
      <w:proofErr w:type="spellEnd"/>
      <w:r w:rsidR="00FF5389" w:rsidRPr="00FF5389">
        <w:rPr>
          <w:sz w:val="24"/>
        </w:rPr>
        <w:t xml:space="preserve"> in a single CYP-dependent process.</w:t>
      </w:r>
      <w:r w:rsidR="00EC2076">
        <w:rPr>
          <w:sz w:val="24"/>
        </w:rPr>
        <w:t xml:space="preserve"> </w:t>
      </w:r>
      <w:r w:rsidRPr="001D2FC1">
        <w:rPr>
          <w:sz w:val="24"/>
        </w:rPr>
        <w:t xml:space="preserve">Unlike </w:t>
      </w:r>
      <w:proofErr w:type="spellStart"/>
      <w:r w:rsidRPr="001D2FC1">
        <w:rPr>
          <w:sz w:val="24"/>
        </w:rPr>
        <w:t>clopidogrel</w:t>
      </w:r>
      <w:proofErr w:type="spellEnd"/>
      <w:r w:rsidRPr="001D2FC1">
        <w:rPr>
          <w:sz w:val="24"/>
        </w:rPr>
        <w:t xml:space="preserve"> this is a single step pathway which accounts for its</w:t>
      </w:r>
      <w:r w:rsidR="00EC2076">
        <w:rPr>
          <w:sz w:val="24"/>
        </w:rPr>
        <w:t xml:space="preserve"> </w:t>
      </w:r>
      <w:r w:rsidRPr="001D2FC1">
        <w:rPr>
          <w:sz w:val="24"/>
        </w:rPr>
        <w:t>quicker onset of action.</w:t>
      </w:r>
      <w:r w:rsidR="00EC2076">
        <w:rPr>
          <w:sz w:val="24"/>
        </w:rPr>
        <w:t xml:space="preserve"> </w:t>
      </w:r>
      <w:proofErr w:type="spellStart"/>
      <w:r w:rsidR="00FF5389" w:rsidRPr="00FF5389">
        <w:rPr>
          <w:sz w:val="24"/>
        </w:rPr>
        <w:t>Prasugrel's</w:t>
      </w:r>
      <w:proofErr w:type="spellEnd"/>
      <w:r w:rsidR="00FF5389" w:rsidRPr="00FF5389">
        <w:rPr>
          <w:sz w:val="24"/>
        </w:rPr>
        <w:t xml:space="preserve"> active metabolite appears in the circulation within 15 min after a 60-mg loading dose and reaches maximal plasma concentration at 30 min. In fact, among patients undergoing cardiac catheterization with planned PCI, loading with 60 mg </w:t>
      </w:r>
      <w:proofErr w:type="spellStart"/>
      <w:r w:rsidR="00FF5389" w:rsidRPr="00FF5389">
        <w:rPr>
          <w:sz w:val="24"/>
        </w:rPr>
        <w:t>prasugrel</w:t>
      </w:r>
      <w:proofErr w:type="spellEnd"/>
      <w:r w:rsidR="00FF5389" w:rsidRPr="00FF5389">
        <w:rPr>
          <w:sz w:val="24"/>
        </w:rPr>
        <w:t xml:space="preserve"> resulted in greater platelet inhibition than a 600-mg </w:t>
      </w:r>
      <w:proofErr w:type="spellStart"/>
      <w:r w:rsidR="00FF5389" w:rsidRPr="00FF5389">
        <w:rPr>
          <w:sz w:val="24"/>
        </w:rPr>
        <w:t>clopidogrel</w:t>
      </w:r>
      <w:proofErr w:type="spellEnd"/>
      <w:r w:rsidR="00FF5389" w:rsidRPr="00FF5389">
        <w:rPr>
          <w:sz w:val="24"/>
        </w:rPr>
        <w:t xml:space="preserve"> loading dose.</w:t>
      </w:r>
    </w:p>
    <w:p w:rsidR="005A7A74" w:rsidRPr="00A34D58" w:rsidRDefault="005A7A74" w:rsidP="005A7A74">
      <w:pPr>
        <w:rPr>
          <w:sz w:val="24"/>
        </w:rPr>
      </w:pPr>
      <w:r w:rsidRPr="001D2FC1">
        <w:rPr>
          <w:sz w:val="24"/>
        </w:rPr>
        <w:t xml:space="preserve">Compared to </w:t>
      </w:r>
      <w:proofErr w:type="spellStart"/>
      <w:r w:rsidRPr="001D2FC1">
        <w:rPr>
          <w:sz w:val="24"/>
        </w:rPr>
        <w:t>clopidogrel</w:t>
      </w:r>
      <w:proofErr w:type="spellEnd"/>
      <w:r w:rsidRPr="001D2FC1">
        <w:rPr>
          <w:sz w:val="24"/>
        </w:rPr>
        <w:t xml:space="preserve">, </w:t>
      </w:r>
      <w:proofErr w:type="spellStart"/>
      <w:r w:rsidRPr="001D2FC1">
        <w:rPr>
          <w:sz w:val="24"/>
        </w:rPr>
        <w:t>prasugrel</w:t>
      </w:r>
      <w:proofErr w:type="spellEnd"/>
      <w:r w:rsidRPr="001D2FC1">
        <w:rPr>
          <w:sz w:val="24"/>
        </w:rPr>
        <w:t xml:space="preserve"> exhibits a greater anti-platelet effect (90%inhibition of aggregation in vitro compared to 50%) and much less inter-individual variation in</w:t>
      </w:r>
      <w:r w:rsidR="00EC2076">
        <w:rPr>
          <w:sz w:val="24"/>
        </w:rPr>
        <w:t xml:space="preserve"> </w:t>
      </w:r>
      <w:r w:rsidRPr="001D2FC1">
        <w:rPr>
          <w:sz w:val="24"/>
        </w:rPr>
        <w:t xml:space="preserve">response. Recovery of platelet function takes longer for </w:t>
      </w:r>
      <w:proofErr w:type="spellStart"/>
      <w:r w:rsidRPr="001D2FC1">
        <w:rPr>
          <w:sz w:val="24"/>
        </w:rPr>
        <w:t>prasugrel</w:t>
      </w:r>
      <w:proofErr w:type="spellEnd"/>
      <w:r w:rsidRPr="001D2FC1">
        <w:rPr>
          <w:sz w:val="24"/>
        </w:rPr>
        <w:t>; it takes 7 days for 75% of patients to</w:t>
      </w:r>
      <w:r w:rsidR="00EC2076">
        <w:rPr>
          <w:sz w:val="24"/>
        </w:rPr>
        <w:t xml:space="preserve"> </w:t>
      </w:r>
      <w:r w:rsidRPr="001D2FC1">
        <w:rPr>
          <w:sz w:val="24"/>
        </w:rPr>
        <w:t xml:space="preserve">return to baseline reactivity compared to 5 days with </w:t>
      </w:r>
      <w:proofErr w:type="spellStart"/>
      <w:r w:rsidRPr="001D2FC1">
        <w:rPr>
          <w:sz w:val="24"/>
        </w:rPr>
        <w:t>clopidogrel</w:t>
      </w:r>
      <w:proofErr w:type="spellEnd"/>
      <w:r w:rsidRPr="001D2FC1">
        <w:rPr>
          <w:sz w:val="24"/>
        </w:rPr>
        <w:t>, potentially as a result of the higher</w:t>
      </w:r>
      <w:r w:rsidR="00EC2076">
        <w:rPr>
          <w:sz w:val="24"/>
        </w:rPr>
        <w:t xml:space="preserve"> </w:t>
      </w:r>
      <w:r w:rsidRPr="001D2FC1">
        <w:rPr>
          <w:sz w:val="24"/>
        </w:rPr>
        <w:t>degree of platelet inhibition that occurs during treatment</w:t>
      </w:r>
      <w:r>
        <w:rPr>
          <w:sz w:val="24"/>
          <w:vertAlign w:val="superscript"/>
        </w:rPr>
        <w:t>7-8</w:t>
      </w:r>
      <w:r w:rsidRPr="001D2FC1">
        <w:rPr>
          <w:sz w:val="24"/>
        </w:rPr>
        <w:t>.  Surgical bleeding is likely to be more</w:t>
      </w:r>
      <w:r w:rsidR="00EC2076">
        <w:rPr>
          <w:sz w:val="24"/>
        </w:rPr>
        <w:t xml:space="preserve"> </w:t>
      </w:r>
      <w:r w:rsidRPr="001D2FC1">
        <w:rPr>
          <w:sz w:val="24"/>
        </w:rPr>
        <w:t>troublesome as a consequence.</w:t>
      </w:r>
    </w:p>
    <w:p w:rsidR="00FF5389" w:rsidRPr="00FF5389" w:rsidRDefault="00FF5389" w:rsidP="001D2FC1">
      <w:pPr>
        <w:rPr>
          <w:sz w:val="24"/>
        </w:rPr>
      </w:pPr>
      <w:r w:rsidRPr="00FF5389">
        <w:rPr>
          <w:sz w:val="24"/>
        </w:rPr>
        <w:t xml:space="preserve">The </w:t>
      </w:r>
      <w:proofErr w:type="spellStart"/>
      <w:r w:rsidRPr="00FF5389">
        <w:rPr>
          <w:sz w:val="24"/>
        </w:rPr>
        <w:t>prasugrel</w:t>
      </w:r>
      <w:proofErr w:type="spellEnd"/>
      <w:r w:rsidRPr="00FF5389">
        <w:rPr>
          <w:sz w:val="24"/>
        </w:rPr>
        <w:t xml:space="preserve">-induced inhibition of platelet activation is not characterized by </w:t>
      </w:r>
      <w:proofErr w:type="gramStart"/>
      <w:r w:rsidRPr="00FF5389">
        <w:rPr>
          <w:sz w:val="24"/>
        </w:rPr>
        <w:t>the inter</w:t>
      </w:r>
      <w:proofErr w:type="gramEnd"/>
      <w:r w:rsidR="00EC2076">
        <w:rPr>
          <w:sz w:val="24"/>
        </w:rPr>
        <w:t xml:space="preserve"> </w:t>
      </w:r>
      <w:r w:rsidRPr="00FF5389">
        <w:rPr>
          <w:sz w:val="24"/>
        </w:rPr>
        <w:t xml:space="preserve">individual variability observed for </w:t>
      </w:r>
      <w:proofErr w:type="spellStart"/>
      <w:r w:rsidRPr="00FF5389">
        <w:rPr>
          <w:sz w:val="24"/>
        </w:rPr>
        <w:t>clopidogrel</w:t>
      </w:r>
      <w:proofErr w:type="spellEnd"/>
      <w:r w:rsidRPr="00FF5389">
        <w:rPr>
          <w:sz w:val="24"/>
        </w:rPr>
        <w:t xml:space="preserve">. Recent </w:t>
      </w:r>
      <w:proofErr w:type="spellStart"/>
      <w:r w:rsidRPr="00FF5389">
        <w:rPr>
          <w:sz w:val="24"/>
        </w:rPr>
        <w:t>pharmacogenetic</w:t>
      </w:r>
      <w:proofErr w:type="spellEnd"/>
      <w:r w:rsidRPr="00FF5389">
        <w:rPr>
          <w:sz w:val="24"/>
        </w:rPr>
        <w:t xml:space="preserve"> analyses in the TRITON-TIMI 38 trial showed that individuals with the ABCB1 T3435T genotype exhibited reduced platelet inhibition and are at increased risk of recurrent ischemic events during </w:t>
      </w:r>
      <w:proofErr w:type="spellStart"/>
      <w:r w:rsidRPr="00FF5389">
        <w:rPr>
          <w:sz w:val="24"/>
        </w:rPr>
        <w:t>clopidogrel</w:t>
      </w:r>
      <w:proofErr w:type="spellEnd"/>
      <w:r w:rsidRPr="00FF5389">
        <w:rPr>
          <w:sz w:val="24"/>
        </w:rPr>
        <w:t xml:space="preserve"> </w:t>
      </w:r>
      <w:r w:rsidRPr="00FF5389">
        <w:rPr>
          <w:sz w:val="24"/>
        </w:rPr>
        <w:lastRenderedPageBreak/>
        <w:t xml:space="preserve">treatment. By contrast, in patients treated with </w:t>
      </w:r>
      <w:proofErr w:type="spellStart"/>
      <w:r w:rsidRPr="00FF5389">
        <w:rPr>
          <w:sz w:val="24"/>
        </w:rPr>
        <w:t>prasugrel</w:t>
      </w:r>
      <w:proofErr w:type="spellEnd"/>
      <w:r w:rsidRPr="00FF5389">
        <w:rPr>
          <w:sz w:val="24"/>
        </w:rPr>
        <w:t>, the ABCB1 C3435T polymorphisms were not significantly associated with CV outcomes</w:t>
      </w:r>
      <w:r w:rsidR="005A7A74">
        <w:rPr>
          <w:sz w:val="24"/>
          <w:vertAlign w:val="superscript"/>
        </w:rPr>
        <w:t>9</w:t>
      </w:r>
      <w:r>
        <w:rPr>
          <w:sz w:val="24"/>
        </w:rPr>
        <w:t>.</w:t>
      </w:r>
    </w:p>
    <w:p w:rsidR="00FF5389" w:rsidRDefault="00FF5389" w:rsidP="001D2FC1">
      <w:pPr>
        <w:rPr>
          <w:sz w:val="24"/>
        </w:rPr>
      </w:pPr>
      <w:r>
        <w:rPr>
          <w:noProof/>
          <w:sz w:val="24"/>
          <w:lang w:val="en-IN" w:eastAsia="en-IN" w:bidi="ta-IN"/>
        </w:rPr>
        <w:drawing>
          <wp:inline distT="0" distB="0" distL="0" distR="0">
            <wp:extent cx="5829300" cy="3845887"/>
            <wp:effectExtent l="19050" t="19050" r="19050" b="21263"/>
            <wp:docPr id="4" name="Picture 4" descr="C:\Users\admin\Desktop\Anti coagulant\819781-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Anti coagulant\819781-fig4.jpg"/>
                    <pic:cNvPicPr>
                      <a:picLocks noChangeAspect="1" noChangeArrowheads="1"/>
                    </pic:cNvPicPr>
                  </pic:nvPicPr>
                  <pic:blipFill>
                    <a:blip r:embed="rId7"/>
                    <a:srcRect/>
                    <a:stretch>
                      <a:fillRect/>
                    </a:stretch>
                  </pic:blipFill>
                  <pic:spPr bwMode="auto">
                    <a:xfrm>
                      <a:off x="0" y="0"/>
                      <a:ext cx="5834789" cy="3849508"/>
                    </a:xfrm>
                    <a:prstGeom prst="rect">
                      <a:avLst/>
                    </a:prstGeom>
                    <a:noFill/>
                    <a:ln w="3175">
                      <a:solidFill>
                        <a:schemeClr val="tx1"/>
                      </a:solidFill>
                      <a:miter lim="800000"/>
                      <a:headEnd/>
                      <a:tailEnd/>
                    </a:ln>
                  </pic:spPr>
                </pic:pic>
              </a:graphicData>
            </a:graphic>
          </wp:inline>
        </w:drawing>
      </w:r>
    </w:p>
    <w:p w:rsidR="00F133FC" w:rsidRPr="00F133FC" w:rsidRDefault="00F133FC" w:rsidP="00F133FC">
      <w:pPr>
        <w:rPr>
          <w:bCs/>
          <w:sz w:val="24"/>
        </w:rPr>
      </w:pPr>
      <w:r w:rsidRPr="00F133FC">
        <w:rPr>
          <w:bCs/>
          <w:sz w:val="24"/>
        </w:rPr>
        <w:t>The</w:t>
      </w:r>
      <w:r w:rsidR="000D04A4">
        <w:rPr>
          <w:bCs/>
          <w:sz w:val="24"/>
        </w:rPr>
        <w:t xml:space="preserve"> </w:t>
      </w:r>
      <w:r w:rsidRPr="00F133FC">
        <w:rPr>
          <w:bCs/>
          <w:sz w:val="24"/>
        </w:rPr>
        <w:t>suggested time interval between discontinuation of</w:t>
      </w:r>
      <w:r w:rsidR="000D04A4">
        <w:rPr>
          <w:bCs/>
          <w:sz w:val="24"/>
        </w:rPr>
        <w:t xml:space="preserve"> </w:t>
      </w:r>
      <w:proofErr w:type="spellStart"/>
      <w:r w:rsidRPr="00F133FC">
        <w:rPr>
          <w:bCs/>
          <w:sz w:val="24"/>
        </w:rPr>
        <w:t>thienopyridine</w:t>
      </w:r>
      <w:proofErr w:type="spellEnd"/>
      <w:r w:rsidRPr="00F133FC">
        <w:rPr>
          <w:bCs/>
          <w:sz w:val="24"/>
        </w:rPr>
        <w:t xml:space="preserve"> therapy and </w:t>
      </w:r>
      <w:proofErr w:type="spellStart"/>
      <w:r w:rsidRPr="00F133FC">
        <w:rPr>
          <w:bCs/>
          <w:sz w:val="24"/>
        </w:rPr>
        <w:t>neuraxial</w:t>
      </w:r>
      <w:proofErr w:type="spellEnd"/>
      <w:r w:rsidRPr="00F133FC">
        <w:rPr>
          <w:bCs/>
          <w:sz w:val="24"/>
        </w:rPr>
        <w:t xml:space="preserve"> blockade is</w:t>
      </w:r>
      <w:r w:rsidR="000D04A4">
        <w:rPr>
          <w:bCs/>
          <w:sz w:val="24"/>
        </w:rPr>
        <w:t xml:space="preserve"> </w:t>
      </w:r>
      <w:r w:rsidRPr="00F133FC">
        <w:rPr>
          <w:bCs/>
          <w:sz w:val="24"/>
        </w:rPr>
        <w:t xml:space="preserve">14 days for </w:t>
      </w:r>
      <w:proofErr w:type="spellStart"/>
      <w:r>
        <w:rPr>
          <w:bCs/>
          <w:sz w:val="24"/>
        </w:rPr>
        <w:t>T</w:t>
      </w:r>
      <w:r w:rsidRPr="00F133FC">
        <w:rPr>
          <w:bCs/>
          <w:sz w:val="24"/>
        </w:rPr>
        <w:t>iclopidine</w:t>
      </w:r>
      <w:proofErr w:type="spellEnd"/>
      <w:r w:rsidRPr="00F133FC">
        <w:rPr>
          <w:bCs/>
          <w:sz w:val="24"/>
        </w:rPr>
        <w:t xml:space="preserve"> and 7 days for </w:t>
      </w:r>
      <w:proofErr w:type="spellStart"/>
      <w:r>
        <w:rPr>
          <w:bCs/>
          <w:sz w:val="24"/>
        </w:rPr>
        <w:t>C</w:t>
      </w:r>
      <w:r w:rsidRPr="00F133FC">
        <w:rPr>
          <w:bCs/>
          <w:sz w:val="24"/>
        </w:rPr>
        <w:t>lopidogrel</w:t>
      </w:r>
      <w:proofErr w:type="spellEnd"/>
      <w:r>
        <w:rPr>
          <w:bCs/>
          <w:sz w:val="24"/>
        </w:rPr>
        <w:t xml:space="preserve"> and </w:t>
      </w:r>
      <w:proofErr w:type="spellStart"/>
      <w:r>
        <w:rPr>
          <w:bCs/>
          <w:sz w:val="24"/>
        </w:rPr>
        <w:t>P</w:t>
      </w:r>
      <w:r w:rsidRPr="00D905CB">
        <w:rPr>
          <w:sz w:val="24"/>
        </w:rPr>
        <w:t>rasugrel</w:t>
      </w:r>
      <w:proofErr w:type="spellEnd"/>
      <w:r>
        <w:rPr>
          <w:sz w:val="24"/>
        </w:rPr>
        <w:t>.</w:t>
      </w:r>
    </w:p>
    <w:p w:rsidR="00EA4708" w:rsidRDefault="00D905CB" w:rsidP="001D2FC1">
      <w:pPr>
        <w:rPr>
          <w:sz w:val="24"/>
        </w:rPr>
      </w:pPr>
      <w:r w:rsidRPr="00D905CB">
        <w:rPr>
          <w:b/>
          <w:bCs/>
          <w:sz w:val="24"/>
        </w:rPr>
        <w:t>Reversal Agents</w:t>
      </w:r>
      <w:r w:rsidR="00F133FC">
        <w:rPr>
          <w:b/>
          <w:bCs/>
          <w:sz w:val="24"/>
        </w:rPr>
        <w:t xml:space="preserve">: </w:t>
      </w:r>
      <w:r w:rsidRPr="00D905CB">
        <w:rPr>
          <w:sz w:val="24"/>
        </w:rPr>
        <w:t xml:space="preserve"> To date, there are no available reversal agents that can be used in the event of an acute bleed in patients on </w:t>
      </w:r>
      <w:proofErr w:type="spellStart"/>
      <w:r w:rsidRPr="00D905CB">
        <w:rPr>
          <w:sz w:val="24"/>
        </w:rPr>
        <w:t>prasugrel</w:t>
      </w:r>
      <w:proofErr w:type="spellEnd"/>
      <w:r w:rsidRPr="00D905CB">
        <w:rPr>
          <w:sz w:val="24"/>
        </w:rPr>
        <w:t>.</w:t>
      </w:r>
      <w:r w:rsidR="00EC2076">
        <w:rPr>
          <w:sz w:val="24"/>
        </w:rPr>
        <w:t xml:space="preserve"> </w:t>
      </w:r>
      <w:r w:rsidR="00EA4708" w:rsidRPr="00EA4708">
        <w:rPr>
          <w:sz w:val="24"/>
        </w:rPr>
        <w:t xml:space="preserve">There are several reversal strategies available for patients on antiplatelet therapy who present with a spontaneous or traumatic. These strategies include administration of platelets, </w:t>
      </w:r>
      <w:proofErr w:type="spellStart"/>
      <w:proofErr w:type="gramStart"/>
      <w:r w:rsidR="00EA4708" w:rsidRPr="00EA4708">
        <w:rPr>
          <w:sz w:val="24"/>
        </w:rPr>
        <w:t>desmopressin</w:t>
      </w:r>
      <w:proofErr w:type="spellEnd"/>
      <w:r w:rsidR="00EA4708">
        <w:rPr>
          <w:sz w:val="24"/>
        </w:rPr>
        <w:t>(</w:t>
      </w:r>
      <w:proofErr w:type="gramEnd"/>
      <w:r w:rsidR="00EA4708">
        <w:rPr>
          <w:rFonts w:ascii="Georgia" w:hAnsi="Georgia" w:cs="Georgia"/>
          <w:sz w:val="24"/>
          <w:szCs w:val="24"/>
        </w:rPr>
        <w:t>0.3 mcg/kg)</w:t>
      </w:r>
      <w:r w:rsidR="00EA4708" w:rsidRPr="00EA4708">
        <w:rPr>
          <w:sz w:val="24"/>
        </w:rPr>
        <w:t>, conjugated estrogens, and/or recombinant factor VII</w:t>
      </w:r>
      <w:r w:rsidR="00EA4708">
        <w:rPr>
          <w:sz w:val="24"/>
          <w:vertAlign w:val="superscript"/>
        </w:rPr>
        <w:t>10</w:t>
      </w:r>
      <w:r w:rsidR="00EA4708">
        <w:rPr>
          <w:sz w:val="24"/>
        </w:rPr>
        <w:t>.</w:t>
      </w:r>
    </w:p>
    <w:p w:rsidR="00DD4646" w:rsidRDefault="00DD4646" w:rsidP="001D2FC1">
      <w:pPr>
        <w:rPr>
          <w:sz w:val="24"/>
        </w:rPr>
      </w:pPr>
      <w:r w:rsidRPr="00DD4646">
        <w:rPr>
          <w:sz w:val="24"/>
        </w:rPr>
        <w:t xml:space="preserve">The present </w:t>
      </w:r>
      <w:r w:rsidRPr="00DD4646">
        <w:rPr>
          <w:i/>
          <w:sz w:val="24"/>
        </w:rPr>
        <w:t>in vivo</w:t>
      </w:r>
      <w:r w:rsidRPr="00DD4646">
        <w:rPr>
          <w:sz w:val="24"/>
        </w:rPr>
        <w:t xml:space="preserve"> result showed that platelet transfusion significantly shortened </w:t>
      </w:r>
      <w:proofErr w:type="spellStart"/>
      <w:r w:rsidRPr="00DD4646">
        <w:rPr>
          <w:sz w:val="24"/>
        </w:rPr>
        <w:t>prasugrel</w:t>
      </w:r>
      <w:proofErr w:type="spellEnd"/>
      <w:r w:rsidRPr="00DD4646">
        <w:rPr>
          <w:sz w:val="24"/>
        </w:rPr>
        <w:t>-induced prolongation of bleeding time in rats.</w:t>
      </w:r>
      <w:r w:rsidR="00EC2076">
        <w:rPr>
          <w:sz w:val="24"/>
        </w:rPr>
        <w:t xml:space="preserve"> </w:t>
      </w:r>
      <w:proofErr w:type="spellStart"/>
      <w:r>
        <w:rPr>
          <w:sz w:val="24"/>
        </w:rPr>
        <w:t>P</w:t>
      </w:r>
      <w:r w:rsidRPr="00DD4646">
        <w:rPr>
          <w:sz w:val="24"/>
        </w:rPr>
        <w:t>rasugrel</w:t>
      </w:r>
      <w:proofErr w:type="spellEnd"/>
      <w:r w:rsidRPr="00DD4646">
        <w:rPr>
          <w:sz w:val="24"/>
        </w:rPr>
        <w:t xml:space="preserve"> is an irreversible antiplatelet agent with only transient exposure of platelets to its active metabolite needed for sustained platelet inhibition. At 4 h after the dosing, when maximum inhibition of platelet aggregation was observed in rats, the blood concentration of </w:t>
      </w:r>
      <w:proofErr w:type="spellStart"/>
      <w:r w:rsidRPr="00DD4646">
        <w:rPr>
          <w:sz w:val="24"/>
        </w:rPr>
        <w:t>prasugrel's</w:t>
      </w:r>
      <w:proofErr w:type="spellEnd"/>
      <w:r w:rsidRPr="00DD4646">
        <w:rPr>
          <w:sz w:val="24"/>
        </w:rPr>
        <w:t xml:space="preserve"> active metabolite is significa</w:t>
      </w:r>
      <w:r>
        <w:rPr>
          <w:sz w:val="24"/>
        </w:rPr>
        <w:t>ntly lower than its peak (</w:t>
      </w:r>
      <w:proofErr w:type="spellStart"/>
      <w:r>
        <w:rPr>
          <w:sz w:val="24"/>
        </w:rPr>
        <w:t>Cmax</w:t>
      </w:r>
      <w:proofErr w:type="spellEnd"/>
      <w:proofErr w:type="gramStart"/>
      <w:r>
        <w:rPr>
          <w:sz w:val="24"/>
        </w:rPr>
        <w:t>)</w:t>
      </w:r>
      <w:r>
        <w:rPr>
          <w:sz w:val="24"/>
          <w:vertAlign w:val="superscript"/>
        </w:rPr>
        <w:t>1</w:t>
      </w:r>
      <w:r w:rsidR="00EA4708">
        <w:rPr>
          <w:sz w:val="24"/>
          <w:vertAlign w:val="superscript"/>
        </w:rPr>
        <w:t>1</w:t>
      </w:r>
      <w:proofErr w:type="gramEnd"/>
      <w:r>
        <w:rPr>
          <w:sz w:val="24"/>
          <w:vertAlign w:val="superscript"/>
        </w:rPr>
        <w:t>-1</w:t>
      </w:r>
      <w:r w:rsidR="00EA4708">
        <w:rPr>
          <w:sz w:val="24"/>
          <w:vertAlign w:val="superscript"/>
        </w:rPr>
        <w:t>2</w:t>
      </w:r>
      <w:r w:rsidRPr="00DD4646">
        <w:rPr>
          <w:sz w:val="24"/>
        </w:rPr>
        <w:t>, thereby allowing transfused platelets to remain functional and provide haemostatic potential.</w:t>
      </w:r>
    </w:p>
    <w:p w:rsidR="00113101" w:rsidRDefault="00113101" w:rsidP="001D2FC1">
      <w:pPr>
        <w:rPr>
          <w:b/>
          <w:sz w:val="24"/>
        </w:rPr>
      </w:pPr>
    </w:p>
    <w:p w:rsidR="00D905CB" w:rsidRDefault="00113101" w:rsidP="001D2FC1">
      <w:pPr>
        <w:rPr>
          <w:b/>
          <w:sz w:val="28"/>
        </w:rPr>
      </w:pPr>
      <w:proofErr w:type="spellStart"/>
      <w:r w:rsidRPr="00113101">
        <w:rPr>
          <w:b/>
          <w:sz w:val="28"/>
        </w:rPr>
        <w:lastRenderedPageBreak/>
        <w:t>Ticagrelor</w:t>
      </w:r>
      <w:proofErr w:type="spellEnd"/>
    </w:p>
    <w:p w:rsidR="00113101" w:rsidRPr="00113101" w:rsidRDefault="00113101" w:rsidP="001D2FC1">
      <w:pPr>
        <w:rPr>
          <w:sz w:val="24"/>
        </w:rPr>
      </w:pPr>
      <w:proofErr w:type="spellStart"/>
      <w:r>
        <w:rPr>
          <w:sz w:val="24"/>
        </w:rPr>
        <w:t>Ticagrelor</w:t>
      </w:r>
      <w:proofErr w:type="spellEnd"/>
      <w:r>
        <w:rPr>
          <w:sz w:val="24"/>
        </w:rPr>
        <w:t xml:space="preserve"> (AZD 6140) </w:t>
      </w:r>
      <w:r w:rsidRPr="00113101">
        <w:rPr>
          <w:sz w:val="24"/>
        </w:rPr>
        <w:t xml:space="preserve">is a </w:t>
      </w:r>
      <w:proofErr w:type="spellStart"/>
      <w:r w:rsidRPr="00113101">
        <w:rPr>
          <w:sz w:val="24"/>
        </w:rPr>
        <w:t>nonthienopyridine</w:t>
      </w:r>
      <w:proofErr w:type="spellEnd"/>
      <w:r w:rsidRPr="00113101">
        <w:rPr>
          <w:sz w:val="24"/>
        </w:rPr>
        <w:t xml:space="preserve">, direct-acting selective antagonist of the ADP P2Y12 receptor. It is a </w:t>
      </w:r>
      <w:proofErr w:type="spellStart"/>
      <w:r w:rsidRPr="00113101">
        <w:rPr>
          <w:sz w:val="24"/>
        </w:rPr>
        <w:t>cyclopentyl-triazolo-pyrimidine</w:t>
      </w:r>
      <w:proofErr w:type="spellEnd"/>
      <w:r w:rsidRPr="00113101">
        <w:rPr>
          <w:sz w:val="24"/>
        </w:rPr>
        <w:t xml:space="preserve">, which is administered orally in its active form and does not need the metabolic activation required with </w:t>
      </w:r>
      <w:proofErr w:type="spellStart"/>
      <w:r w:rsidRPr="00113101">
        <w:rPr>
          <w:sz w:val="24"/>
        </w:rPr>
        <w:t>thienopyridines</w:t>
      </w:r>
      <w:proofErr w:type="spellEnd"/>
      <w:r>
        <w:rPr>
          <w:sz w:val="24"/>
        </w:rPr>
        <w:t xml:space="preserve">. </w:t>
      </w:r>
      <w:proofErr w:type="spellStart"/>
      <w:r w:rsidR="00F133FC" w:rsidRPr="00F133FC">
        <w:rPr>
          <w:sz w:val="24"/>
        </w:rPr>
        <w:t>Ticagrelor</w:t>
      </w:r>
      <w:proofErr w:type="spellEnd"/>
      <w:r w:rsidR="00F133FC" w:rsidRPr="00F133FC">
        <w:rPr>
          <w:sz w:val="24"/>
        </w:rPr>
        <w:t xml:space="preserve"> targets the P2Y12 receptor via a mechanism that is noncompetitive with ADP, suggesting the existence of a binding site on P2Y12 independent to that of ADP. Thus, </w:t>
      </w:r>
      <w:proofErr w:type="spellStart"/>
      <w:r w:rsidR="00F133FC" w:rsidRPr="00F133FC">
        <w:rPr>
          <w:sz w:val="24"/>
        </w:rPr>
        <w:t>ticagrelor</w:t>
      </w:r>
      <w:proofErr w:type="spellEnd"/>
      <w:r w:rsidR="00F133FC" w:rsidRPr="00F133FC">
        <w:rPr>
          <w:sz w:val="24"/>
        </w:rPr>
        <w:t xml:space="preserve"> may act through an allosteric mechanism preventing G-protein-mediated signal transduction following ADP binding to P2Y12</w:t>
      </w:r>
      <w:r w:rsidR="00F133FC">
        <w:rPr>
          <w:sz w:val="24"/>
          <w:vertAlign w:val="superscript"/>
        </w:rPr>
        <w:t>13</w:t>
      </w:r>
      <w:r w:rsidR="00F133FC" w:rsidRPr="00F133FC">
        <w:rPr>
          <w:sz w:val="24"/>
        </w:rPr>
        <w:t xml:space="preserve">.Unlike </w:t>
      </w:r>
      <w:proofErr w:type="spellStart"/>
      <w:r w:rsidR="00A64849">
        <w:rPr>
          <w:sz w:val="24"/>
        </w:rPr>
        <w:t>C</w:t>
      </w:r>
      <w:r w:rsidR="00F133FC" w:rsidRPr="00F133FC">
        <w:rPr>
          <w:sz w:val="24"/>
        </w:rPr>
        <w:t>lopidogrel</w:t>
      </w:r>
      <w:proofErr w:type="spellEnd"/>
      <w:r w:rsidR="00F133FC" w:rsidRPr="00F133FC">
        <w:rPr>
          <w:sz w:val="24"/>
        </w:rPr>
        <w:t xml:space="preserve"> and </w:t>
      </w:r>
      <w:proofErr w:type="spellStart"/>
      <w:r w:rsidR="00A64849">
        <w:rPr>
          <w:sz w:val="24"/>
        </w:rPr>
        <w:t>P</w:t>
      </w:r>
      <w:r w:rsidR="00F133FC" w:rsidRPr="00F133FC">
        <w:rPr>
          <w:sz w:val="24"/>
        </w:rPr>
        <w:t>rasugrel</w:t>
      </w:r>
      <w:proofErr w:type="spellEnd"/>
      <w:r w:rsidR="00F133FC" w:rsidRPr="00F133FC">
        <w:rPr>
          <w:sz w:val="24"/>
        </w:rPr>
        <w:t>, this inhibition is reversible.</w:t>
      </w:r>
    </w:p>
    <w:p w:rsidR="00113101" w:rsidRPr="00113101" w:rsidRDefault="0063062E" w:rsidP="0063062E">
      <w:pPr>
        <w:rPr>
          <w:sz w:val="24"/>
        </w:rPr>
      </w:pPr>
      <w:proofErr w:type="spellStart"/>
      <w:r w:rsidRPr="0063062E">
        <w:rPr>
          <w:sz w:val="24"/>
        </w:rPr>
        <w:t>Ticagrelor</w:t>
      </w:r>
      <w:proofErr w:type="spellEnd"/>
      <w:r w:rsidRPr="0063062E">
        <w:rPr>
          <w:sz w:val="24"/>
        </w:rPr>
        <w:t xml:space="preserve"> is metabolized in the liver primarily through CYP3A4/5 </w:t>
      </w:r>
      <w:proofErr w:type="spellStart"/>
      <w:r w:rsidRPr="0063062E">
        <w:rPr>
          <w:sz w:val="24"/>
        </w:rPr>
        <w:t>iso</w:t>
      </w:r>
      <w:proofErr w:type="spellEnd"/>
      <w:r w:rsidR="004261A6">
        <w:rPr>
          <w:sz w:val="24"/>
        </w:rPr>
        <w:t xml:space="preserve"> </w:t>
      </w:r>
      <w:r w:rsidRPr="0063062E">
        <w:rPr>
          <w:sz w:val="24"/>
        </w:rPr>
        <w:t xml:space="preserve">enzymes. Some of the </w:t>
      </w:r>
      <w:proofErr w:type="spellStart"/>
      <w:r w:rsidR="00A64849">
        <w:rPr>
          <w:sz w:val="24"/>
        </w:rPr>
        <w:t>T</w:t>
      </w:r>
      <w:r w:rsidRPr="0063062E">
        <w:rPr>
          <w:sz w:val="24"/>
        </w:rPr>
        <w:t>icagrelor</w:t>
      </w:r>
      <w:proofErr w:type="spellEnd"/>
      <w:r w:rsidRPr="0063062E">
        <w:rPr>
          <w:sz w:val="24"/>
        </w:rPr>
        <w:t xml:space="preserve"> metabolites exhibit </w:t>
      </w:r>
      <w:proofErr w:type="spellStart"/>
      <w:r w:rsidRPr="0063062E">
        <w:rPr>
          <w:sz w:val="24"/>
        </w:rPr>
        <w:t>antiplatelet</w:t>
      </w:r>
      <w:proofErr w:type="spellEnd"/>
      <w:r w:rsidRPr="0063062E">
        <w:rPr>
          <w:sz w:val="24"/>
        </w:rPr>
        <w:t xml:space="preserve"> activity. One of them, AR-C 124910XX, is present at approximately one-third of the plasma concentration of </w:t>
      </w:r>
      <w:proofErr w:type="spellStart"/>
      <w:r w:rsidR="00A64849">
        <w:rPr>
          <w:sz w:val="24"/>
        </w:rPr>
        <w:t>T</w:t>
      </w:r>
      <w:r w:rsidRPr="0063062E">
        <w:rPr>
          <w:sz w:val="24"/>
        </w:rPr>
        <w:t>icagrelor</w:t>
      </w:r>
      <w:proofErr w:type="spellEnd"/>
      <w:r w:rsidRPr="0063062E">
        <w:rPr>
          <w:sz w:val="24"/>
        </w:rPr>
        <w:t xml:space="preserve"> and has a half-life of approximately 8–12 h.The drug has a rapid offset of action witha half- life of 12 hours, mandating a twice daily dosing regimen (90 mg </w:t>
      </w:r>
      <w:proofErr w:type="spellStart"/>
      <w:r w:rsidRPr="0063062E">
        <w:rPr>
          <w:sz w:val="24"/>
        </w:rPr>
        <w:t>bd</w:t>
      </w:r>
      <w:proofErr w:type="spellEnd"/>
      <w:r w:rsidRPr="0063062E">
        <w:rPr>
          <w:sz w:val="24"/>
        </w:rPr>
        <w:t xml:space="preserve">). It too exhibits a greaterlevel of platelet inhibition than </w:t>
      </w:r>
      <w:proofErr w:type="spellStart"/>
      <w:r w:rsidR="00A64849">
        <w:rPr>
          <w:sz w:val="24"/>
        </w:rPr>
        <w:t>C</w:t>
      </w:r>
      <w:r w:rsidRPr="0063062E">
        <w:rPr>
          <w:sz w:val="24"/>
        </w:rPr>
        <w:t>lopidogrel</w:t>
      </w:r>
      <w:proofErr w:type="spellEnd"/>
      <w:r w:rsidRPr="0063062E">
        <w:rPr>
          <w:sz w:val="24"/>
        </w:rPr>
        <w:t xml:space="preserve"> (50-60% in vitro).</w:t>
      </w:r>
    </w:p>
    <w:p w:rsidR="00D905CB" w:rsidRDefault="0063062E" w:rsidP="001D2FC1">
      <w:pPr>
        <w:rPr>
          <w:sz w:val="24"/>
        </w:rPr>
      </w:pPr>
      <w:r w:rsidRPr="0063062E">
        <w:rPr>
          <w:sz w:val="24"/>
        </w:rPr>
        <w:t>In addition to it being a more rapid and more potent platelet inhibitor</w:t>
      </w:r>
      <w:r w:rsidR="004261A6">
        <w:rPr>
          <w:sz w:val="24"/>
        </w:rPr>
        <w:t xml:space="preserve">  </w:t>
      </w:r>
      <w:r w:rsidRPr="0063062E">
        <w:rPr>
          <w:sz w:val="24"/>
        </w:rPr>
        <w:t xml:space="preserve"> than </w:t>
      </w:r>
      <w:proofErr w:type="spellStart"/>
      <w:r w:rsidR="00A64849">
        <w:rPr>
          <w:sz w:val="24"/>
        </w:rPr>
        <w:t>C</w:t>
      </w:r>
      <w:r w:rsidRPr="0063062E">
        <w:rPr>
          <w:sz w:val="24"/>
        </w:rPr>
        <w:t>lopidogrel</w:t>
      </w:r>
      <w:proofErr w:type="spellEnd"/>
      <w:r w:rsidRPr="0063062E">
        <w:rPr>
          <w:sz w:val="24"/>
        </w:rPr>
        <w:t xml:space="preserve">, after drug discontinuation the offset of platelet inhibition is faster for </w:t>
      </w:r>
      <w:proofErr w:type="spellStart"/>
      <w:r w:rsidR="00A64849">
        <w:rPr>
          <w:sz w:val="24"/>
        </w:rPr>
        <w:t>T</w:t>
      </w:r>
      <w:r w:rsidRPr="0063062E">
        <w:rPr>
          <w:sz w:val="24"/>
        </w:rPr>
        <w:t>icagrelor</w:t>
      </w:r>
      <w:proofErr w:type="spellEnd"/>
      <w:r w:rsidRPr="0063062E">
        <w:rPr>
          <w:sz w:val="24"/>
        </w:rPr>
        <w:t xml:space="preserve"> than for </w:t>
      </w:r>
      <w:proofErr w:type="spellStart"/>
      <w:r w:rsidR="00A64849">
        <w:rPr>
          <w:sz w:val="24"/>
        </w:rPr>
        <w:t>C</w:t>
      </w:r>
      <w:r w:rsidRPr="0063062E">
        <w:rPr>
          <w:sz w:val="24"/>
        </w:rPr>
        <w:t>lopidogrel</w:t>
      </w:r>
      <w:proofErr w:type="spellEnd"/>
      <w:r w:rsidRPr="0063062E">
        <w:rPr>
          <w:sz w:val="24"/>
        </w:rPr>
        <w:t>.</w:t>
      </w:r>
      <w:r w:rsidR="000D04A4">
        <w:rPr>
          <w:sz w:val="24"/>
        </w:rPr>
        <w:t xml:space="preserve"> </w:t>
      </w:r>
      <w:r w:rsidRPr="0063062E">
        <w:rPr>
          <w:sz w:val="24"/>
        </w:rPr>
        <w:t xml:space="preserve">The </w:t>
      </w:r>
      <w:proofErr w:type="spellStart"/>
      <w:r w:rsidRPr="0063062E">
        <w:rPr>
          <w:sz w:val="24"/>
        </w:rPr>
        <w:t>antiplatelet</w:t>
      </w:r>
      <w:proofErr w:type="spellEnd"/>
      <w:r w:rsidRPr="0063062E">
        <w:rPr>
          <w:sz w:val="24"/>
        </w:rPr>
        <w:t xml:space="preserve"> effects of </w:t>
      </w:r>
      <w:proofErr w:type="spellStart"/>
      <w:r w:rsidR="00A64849">
        <w:rPr>
          <w:sz w:val="24"/>
        </w:rPr>
        <w:t>T</w:t>
      </w:r>
      <w:r w:rsidRPr="0063062E">
        <w:rPr>
          <w:sz w:val="24"/>
        </w:rPr>
        <w:t>icagrelor</w:t>
      </w:r>
      <w:proofErr w:type="spellEnd"/>
      <w:r w:rsidRPr="0063062E">
        <w:rPr>
          <w:sz w:val="24"/>
        </w:rPr>
        <w:t xml:space="preserve"> decline rapidly over 72 h following cessation and near-normal platelet reactivity is achieved after approximately 5 days</w:t>
      </w:r>
      <w:r>
        <w:rPr>
          <w:sz w:val="24"/>
          <w:vertAlign w:val="superscript"/>
        </w:rPr>
        <w:t>14</w:t>
      </w:r>
      <w:r>
        <w:rPr>
          <w:sz w:val="24"/>
        </w:rPr>
        <w:t xml:space="preserve">. </w:t>
      </w:r>
    </w:p>
    <w:p w:rsidR="00D905CB" w:rsidRDefault="0063062E" w:rsidP="0063062E">
      <w:pPr>
        <w:rPr>
          <w:sz w:val="24"/>
        </w:rPr>
      </w:pPr>
      <w:proofErr w:type="spellStart"/>
      <w:r w:rsidRPr="0063062E">
        <w:rPr>
          <w:sz w:val="24"/>
        </w:rPr>
        <w:t>Ticagrelor</w:t>
      </w:r>
      <w:proofErr w:type="spellEnd"/>
      <w:r w:rsidRPr="0063062E">
        <w:rPr>
          <w:sz w:val="24"/>
        </w:rPr>
        <w:t xml:space="preserve"> is recommended as a treatment option in conjunction with low dose aspirin for upto 12 months in adults with acute coronary syndrome i.e. STEMI, NSTEMI or unstable angina that</w:t>
      </w:r>
      <w:r w:rsidR="004261A6">
        <w:rPr>
          <w:sz w:val="24"/>
        </w:rPr>
        <w:t xml:space="preserve"> </w:t>
      </w:r>
      <w:r w:rsidRPr="0063062E">
        <w:rPr>
          <w:sz w:val="24"/>
        </w:rPr>
        <w:t>cardiologists intend to treat with immediate PCI.</w:t>
      </w:r>
    </w:p>
    <w:p w:rsidR="00AD5537" w:rsidRDefault="00AD5537" w:rsidP="00AD5537">
      <w:pPr>
        <w:rPr>
          <w:sz w:val="24"/>
        </w:rPr>
      </w:pPr>
      <w:r w:rsidRPr="00AD5537">
        <w:rPr>
          <w:sz w:val="24"/>
        </w:rPr>
        <w:t xml:space="preserve">There is a mortality benefit when comparing </w:t>
      </w:r>
      <w:proofErr w:type="spellStart"/>
      <w:r w:rsidR="00A64849">
        <w:rPr>
          <w:sz w:val="24"/>
        </w:rPr>
        <w:t>T</w:t>
      </w:r>
      <w:r w:rsidRPr="00AD5537">
        <w:rPr>
          <w:sz w:val="24"/>
        </w:rPr>
        <w:t>icagrelor</w:t>
      </w:r>
      <w:proofErr w:type="spellEnd"/>
      <w:r w:rsidRPr="00AD5537">
        <w:rPr>
          <w:sz w:val="24"/>
        </w:rPr>
        <w:t xml:space="preserve"> with </w:t>
      </w:r>
      <w:proofErr w:type="spellStart"/>
      <w:r w:rsidR="00A64849">
        <w:rPr>
          <w:sz w:val="24"/>
        </w:rPr>
        <w:t>C</w:t>
      </w:r>
      <w:r w:rsidRPr="00AD5537">
        <w:rPr>
          <w:sz w:val="24"/>
        </w:rPr>
        <w:t>lopidogrel</w:t>
      </w:r>
      <w:proofErr w:type="spellEnd"/>
      <w:r w:rsidRPr="00AD5537">
        <w:rPr>
          <w:sz w:val="24"/>
        </w:rPr>
        <w:t>, but is possible that patients</w:t>
      </w:r>
      <w:r w:rsidR="004261A6">
        <w:rPr>
          <w:sz w:val="24"/>
        </w:rPr>
        <w:t xml:space="preserve"> </w:t>
      </w:r>
      <w:r w:rsidRPr="00AD5537">
        <w:rPr>
          <w:sz w:val="24"/>
        </w:rPr>
        <w:t xml:space="preserve">requiring acute surgery who have recently taken </w:t>
      </w:r>
      <w:proofErr w:type="spellStart"/>
      <w:r w:rsidR="00A64849">
        <w:rPr>
          <w:sz w:val="24"/>
        </w:rPr>
        <w:t>T</w:t>
      </w:r>
      <w:r w:rsidRPr="00AD5537">
        <w:rPr>
          <w:sz w:val="24"/>
        </w:rPr>
        <w:t>icagrelor</w:t>
      </w:r>
      <w:proofErr w:type="spellEnd"/>
      <w:r w:rsidRPr="00AD5537">
        <w:rPr>
          <w:sz w:val="24"/>
        </w:rPr>
        <w:t xml:space="preserve"> may experience troublesome bleeding andrequire platelet transfusion.</w:t>
      </w:r>
    </w:p>
    <w:p w:rsidR="00AD5537" w:rsidRDefault="00AD5537" w:rsidP="00AD5537">
      <w:pPr>
        <w:rPr>
          <w:sz w:val="24"/>
        </w:rPr>
      </w:pPr>
      <w:proofErr w:type="spellStart"/>
      <w:r w:rsidRPr="00AD5537">
        <w:rPr>
          <w:sz w:val="24"/>
        </w:rPr>
        <w:t>Ticagrelor</w:t>
      </w:r>
      <w:proofErr w:type="spellEnd"/>
      <w:r w:rsidRPr="00AD5537">
        <w:rPr>
          <w:sz w:val="24"/>
        </w:rPr>
        <w:t xml:space="preserve"> should be discontinued a minimum of 5 days before any procedure where therapeutic intervention is anticipated or planned.</w:t>
      </w:r>
    </w:p>
    <w:p w:rsidR="004E351D" w:rsidRDefault="004E351D" w:rsidP="00AD5537">
      <w:pPr>
        <w:rPr>
          <w:sz w:val="24"/>
        </w:rPr>
      </w:pPr>
      <w:r w:rsidRPr="004E351D">
        <w:rPr>
          <w:sz w:val="24"/>
        </w:rPr>
        <w:t xml:space="preserve">Platelet transfusion, which is usually proposed to reverse the effect of antiplatelet drugs, has been suggested to be inefficient because circulating </w:t>
      </w:r>
      <w:proofErr w:type="spellStart"/>
      <w:r w:rsidR="00A64849">
        <w:rPr>
          <w:sz w:val="24"/>
        </w:rPr>
        <w:t>T</w:t>
      </w:r>
      <w:r w:rsidRPr="004E351D">
        <w:rPr>
          <w:sz w:val="24"/>
        </w:rPr>
        <w:t>icagrelor</w:t>
      </w:r>
      <w:proofErr w:type="spellEnd"/>
      <w:r w:rsidRPr="004E351D">
        <w:rPr>
          <w:sz w:val="24"/>
        </w:rPr>
        <w:t xml:space="preserve"> and its active metabolite are likely to inhibit the fresh platelets</w:t>
      </w:r>
      <w:r>
        <w:rPr>
          <w:sz w:val="24"/>
        </w:rPr>
        <w:t>.</w:t>
      </w:r>
    </w:p>
    <w:p w:rsidR="00A64849" w:rsidRDefault="00A64849" w:rsidP="00AD5537">
      <w:pPr>
        <w:rPr>
          <w:sz w:val="24"/>
        </w:rPr>
      </w:pPr>
    </w:p>
    <w:p w:rsidR="00A64849" w:rsidRDefault="00A64849" w:rsidP="00AD5537">
      <w:pPr>
        <w:rPr>
          <w:sz w:val="24"/>
        </w:rPr>
      </w:pPr>
    </w:p>
    <w:p w:rsidR="00A64849" w:rsidRDefault="00A64849" w:rsidP="00AD5537">
      <w:pPr>
        <w:rPr>
          <w:sz w:val="24"/>
        </w:rPr>
      </w:pPr>
    </w:p>
    <w:p w:rsidR="00A64849" w:rsidRDefault="00A64849" w:rsidP="00AD5537">
      <w:pPr>
        <w:rPr>
          <w:sz w:val="24"/>
        </w:rPr>
      </w:pPr>
    </w:p>
    <w:p w:rsidR="00637253" w:rsidRDefault="00637253" w:rsidP="00AD5537">
      <w:pPr>
        <w:rPr>
          <w:sz w:val="24"/>
        </w:rPr>
      </w:pPr>
      <w:r>
        <w:rPr>
          <w:sz w:val="24"/>
        </w:rPr>
        <w:t>Antiplatelet comparison chart:</w:t>
      </w:r>
    </w:p>
    <w:p w:rsidR="00D905CB" w:rsidRDefault="00637253" w:rsidP="001D2FC1">
      <w:pPr>
        <w:rPr>
          <w:sz w:val="24"/>
        </w:rPr>
      </w:pPr>
      <w:r>
        <w:rPr>
          <w:noProof/>
          <w:sz w:val="24"/>
          <w:lang w:val="en-IN" w:eastAsia="en-IN" w:bidi="ta-IN"/>
        </w:rPr>
        <w:drawing>
          <wp:inline distT="0" distB="0" distL="0" distR="0">
            <wp:extent cx="5943600" cy="7472374"/>
            <wp:effectExtent l="19050" t="0" r="0" b="0"/>
            <wp:docPr id="6" name="Picture 2" descr="C:\Users\admin\Desktop\Anti coagulant\ANTIPLATELET 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Anti coagulant\ANTIPLATELET COMPARISON.jpg"/>
                    <pic:cNvPicPr>
                      <a:picLocks noChangeAspect="1" noChangeArrowheads="1"/>
                    </pic:cNvPicPr>
                  </pic:nvPicPr>
                  <pic:blipFill>
                    <a:blip r:embed="rId8"/>
                    <a:srcRect/>
                    <a:stretch>
                      <a:fillRect/>
                    </a:stretch>
                  </pic:blipFill>
                  <pic:spPr bwMode="auto">
                    <a:xfrm>
                      <a:off x="0" y="0"/>
                      <a:ext cx="5943600" cy="7472374"/>
                    </a:xfrm>
                    <a:prstGeom prst="rect">
                      <a:avLst/>
                    </a:prstGeom>
                    <a:noFill/>
                    <a:ln w="9525">
                      <a:noFill/>
                      <a:miter lim="800000"/>
                      <a:headEnd/>
                      <a:tailEnd/>
                    </a:ln>
                  </pic:spPr>
                </pic:pic>
              </a:graphicData>
            </a:graphic>
          </wp:inline>
        </w:drawing>
      </w:r>
    </w:p>
    <w:p w:rsidR="00D55B40" w:rsidRPr="003A53FD" w:rsidRDefault="00D55B40" w:rsidP="00D55B40">
      <w:pPr>
        <w:spacing w:before="100" w:beforeAutospacing="1" w:after="100" w:afterAutospacing="1" w:line="240" w:lineRule="auto"/>
        <w:outlineLvl w:val="2"/>
        <w:rPr>
          <w:rFonts w:eastAsia="Times New Roman" w:cstheme="minorHAnsi"/>
          <w:b/>
          <w:bCs/>
          <w:sz w:val="28"/>
          <w:szCs w:val="27"/>
        </w:rPr>
      </w:pPr>
      <w:r w:rsidRPr="003A53FD">
        <w:rPr>
          <w:rFonts w:eastAsia="Times New Roman" w:cstheme="minorHAnsi"/>
          <w:b/>
          <w:bCs/>
          <w:sz w:val="28"/>
          <w:szCs w:val="27"/>
        </w:rPr>
        <w:lastRenderedPageBreak/>
        <w:t>The Coagulation Pathways</w:t>
      </w:r>
    </w:p>
    <w:p w:rsidR="00D55B40" w:rsidRDefault="00D55B40" w:rsidP="00D55B40">
      <w:pPr>
        <w:spacing w:before="100" w:beforeAutospacing="1" w:after="100" w:afterAutospacing="1" w:line="240" w:lineRule="auto"/>
        <w:rPr>
          <w:rFonts w:eastAsia="Times New Roman" w:cstheme="minorHAnsi"/>
          <w:sz w:val="24"/>
          <w:szCs w:val="24"/>
        </w:rPr>
      </w:pPr>
      <w:r w:rsidRPr="003A53FD">
        <w:rPr>
          <w:rFonts w:eastAsia="Times New Roman" w:cstheme="minorHAnsi"/>
          <w:sz w:val="24"/>
          <w:szCs w:val="24"/>
        </w:rPr>
        <w:t xml:space="preserve">Endothelium–platelet interactions and the coagulation cascade serve as the focal points of hemostasis. In primary hemostasis, the endothelium of a damaged vessel releases adenosine </w:t>
      </w:r>
      <w:proofErr w:type="spellStart"/>
      <w:r w:rsidRPr="003A53FD">
        <w:rPr>
          <w:rFonts w:eastAsia="Times New Roman" w:cstheme="minorHAnsi"/>
          <w:sz w:val="24"/>
          <w:szCs w:val="24"/>
        </w:rPr>
        <w:t>diphosphate</w:t>
      </w:r>
      <w:proofErr w:type="spellEnd"/>
      <w:r w:rsidRPr="003A53FD">
        <w:rPr>
          <w:rFonts w:eastAsia="Times New Roman" w:cstheme="minorHAnsi"/>
          <w:sz w:val="24"/>
          <w:szCs w:val="24"/>
        </w:rPr>
        <w:t xml:space="preserve">, serotonin, and </w:t>
      </w:r>
      <w:proofErr w:type="spellStart"/>
      <w:r w:rsidRPr="003A53FD">
        <w:rPr>
          <w:rFonts w:eastAsia="Times New Roman" w:cstheme="minorHAnsi"/>
          <w:sz w:val="24"/>
          <w:szCs w:val="24"/>
        </w:rPr>
        <w:t>thromboxane</w:t>
      </w:r>
      <w:proofErr w:type="spellEnd"/>
      <w:r w:rsidRPr="003A53FD">
        <w:rPr>
          <w:rFonts w:eastAsia="Times New Roman" w:cstheme="minorHAnsi"/>
          <w:sz w:val="24"/>
          <w:szCs w:val="24"/>
        </w:rPr>
        <w:t xml:space="preserve"> A2. Platelets respond to these cytokines with expression of glycoprotein </w:t>
      </w:r>
      <w:proofErr w:type="spellStart"/>
      <w:r w:rsidRPr="003A53FD">
        <w:rPr>
          <w:rFonts w:eastAsia="Times New Roman" w:cstheme="minorHAnsi"/>
          <w:sz w:val="24"/>
          <w:szCs w:val="24"/>
        </w:rPr>
        <w:t>IIb</w:t>
      </w:r>
      <w:proofErr w:type="spellEnd"/>
      <w:r w:rsidRPr="003A53FD">
        <w:rPr>
          <w:rFonts w:eastAsia="Times New Roman" w:cstheme="minorHAnsi"/>
          <w:sz w:val="24"/>
          <w:szCs w:val="24"/>
        </w:rPr>
        <w:t>/</w:t>
      </w:r>
      <w:proofErr w:type="spellStart"/>
      <w:r w:rsidRPr="003A53FD">
        <w:rPr>
          <w:rFonts w:eastAsia="Times New Roman" w:cstheme="minorHAnsi"/>
          <w:sz w:val="24"/>
          <w:szCs w:val="24"/>
        </w:rPr>
        <w:t>IIIa</w:t>
      </w:r>
      <w:proofErr w:type="spellEnd"/>
      <w:r w:rsidRPr="003A53FD">
        <w:rPr>
          <w:rFonts w:eastAsia="Times New Roman" w:cstheme="minorHAnsi"/>
          <w:sz w:val="24"/>
          <w:szCs w:val="24"/>
        </w:rPr>
        <w:t xml:space="preserve"> and platelet–endothelial cell adhesion molecule 1 to form an initial platelet plug. The coagulation cascade unfolds simultaneously with its intrinsic and extrinsic pathways that lead to the formation of fibrin. Figure 1 depicts both the intrinsic and extrinsic pathways that comprise the coagulation cascade.</w:t>
      </w:r>
    </w:p>
    <w:p w:rsidR="00D55B40" w:rsidRDefault="00D55B40" w:rsidP="00D55B40">
      <w:pPr>
        <w:spacing w:before="100" w:beforeAutospacing="1" w:after="100" w:afterAutospacing="1" w:line="240" w:lineRule="auto"/>
        <w:rPr>
          <w:rFonts w:eastAsia="Times New Roman" w:cstheme="minorHAnsi"/>
          <w:sz w:val="24"/>
          <w:szCs w:val="24"/>
        </w:rPr>
      </w:pPr>
      <w:r w:rsidRPr="00D55B40">
        <w:rPr>
          <w:rFonts w:eastAsia="Times New Roman" w:cstheme="minorHAnsi"/>
          <w:noProof/>
          <w:sz w:val="24"/>
          <w:szCs w:val="24"/>
          <w:lang w:val="en-IN" w:eastAsia="en-IN" w:bidi="ta-IN"/>
        </w:rPr>
        <w:drawing>
          <wp:inline distT="0" distB="0" distL="0" distR="0">
            <wp:extent cx="5924550" cy="5232430"/>
            <wp:effectExtent l="19050" t="0" r="0" b="0"/>
            <wp:docPr id="7" name="Picture 1" descr="C:\Users\admin\Desktop\Anti coagulant\819781-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nti coagulant\819781-fig1.jpg"/>
                    <pic:cNvPicPr>
                      <a:picLocks noChangeAspect="1" noChangeArrowheads="1"/>
                    </pic:cNvPicPr>
                  </pic:nvPicPr>
                  <pic:blipFill>
                    <a:blip r:embed="rId9"/>
                    <a:srcRect/>
                    <a:stretch>
                      <a:fillRect/>
                    </a:stretch>
                  </pic:blipFill>
                  <pic:spPr bwMode="auto">
                    <a:xfrm>
                      <a:off x="0" y="0"/>
                      <a:ext cx="5924550" cy="5232430"/>
                    </a:xfrm>
                    <a:prstGeom prst="rect">
                      <a:avLst/>
                    </a:prstGeom>
                    <a:noFill/>
                    <a:ln w="9525">
                      <a:noFill/>
                      <a:miter lim="800000"/>
                      <a:headEnd/>
                      <a:tailEnd/>
                    </a:ln>
                  </pic:spPr>
                </pic:pic>
              </a:graphicData>
            </a:graphic>
          </wp:inline>
        </w:drawing>
      </w:r>
    </w:p>
    <w:p w:rsidR="00A64849" w:rsidRDefault="00A64849" w:rsidP="00716C4D">
      <w:pPr>
        <w:rPr>
          <w:b/>
          <w:color w:val="000000"/>
          <w:sz w:val="28"/>
          <w:szCs w:val="23"/>
        </w:rPr>
      </w:pPr>
    </w:p>
    <w:p w:rsidR="004764BD" w:rsidRDefault="004764BD" w:rsidP="00716C4D">
      <w:pPr>
        <w:rPr>
          <w:b/>
          <w:color w:val="000000"/>
          <w:sz w:val="28"/>
          <w:szCs w:val="23"/>
        </w:rPr>
      </w:pPr>
    </w:p>
    <w:p w:rsidR="003C66DB" w:rsidRDefault="00A8306A" w:rsidP="00716C4D">
      <w:pPr>
        <w:rPr>
          <w:b/>
          <w:color w:val="000000"/>
          <w:sz w:val="28"/>
          <w:szCs w:val="23"/>
        </w:rPr>
      </w:pPr>
      <w:r w:rsidRPr="00A8306A">
        <w:rPr>
          <w:b/>
          <w:color w:val="000000"/>
          <w:sz w:val="28"/>
          <w:szCs w:val="23"/>
        </w:rPr>
        <w:lastRenderedPageBreak/>
        <w:t>New Oral Anticoagulants (NOACs)</w:t>
      </w:r>
    </w:p>
    <w:p w:rsidR="00A8306A" w:rsidRDefault="00A8306A" w:rsidP="00A8306A">
      <w:pPr>
        <w:rPr>
          <w:sz w:val="24"/>
        </w:rPr>
      </w:pPr>
      <w:r w:rsidRPr="00A8306A">
        <w:rPr>
          <w:sz w:val="24"/>
        </w:rPr>
        <w:t>Two classes of New Oral Anticoagulants (NOACs) are currently available, the oral</w:t>
      </w:r>
      <w:r w:rsidR="00264C79">
        <w:rPr>
          <w:sz w:val="24"/>
        </w:rPr>
        <w:t xml:space="preserve"> </w:t>
      </w:r>
      <w:r w:rsidRPr="00A8306A">
        <w:rPr>
          <w:sz w:val="24"/>
        </w:rPr>
        <w:t xml:space="preserve">direct </w:t>
      </w:r>
      <w:proofErr w:type="gramStart"/>
      <w:r w:rsidRPr="00A8306A">
        <w:rPr>
          <w:sz w:val="24"/>
        </w:rPr>
        <w:t>thrombin</w:t>
      </w:r>
      <w:r w:rsidR="0018047A">
        <w:rPr>
          <w:sz w:val="24"/>
        </w:rPr>
        <w:t xml:space="preserve"> </w:t>
      </w:r>
      <w:r w:rsidRPr="00A8306A">
        <w:rPr>
          <w:sz w:val="24"/>
        </w:rPr>
        <w:t xml:space="preserve"> inhibitors</w:t>
      </w:r>
      <w:proofErr w:type="gramEnd"/>
      <w:r w:rsidRPr="00A8306A">
        <w:rPr>
          <w:sz w:val="24"/>
        </w:rPr>
        <w:t xml:space="preserve"> (DTIs; e.g., </w:t>
      </w:r>
      <w:proofErr w:type="spellStart"/>
      <w:r w:rsidR="00A64849">
        <w:rPr>
          <w:sz w:val="24"/>
        </w:rPr>
        <w:t>D</w:t>
      </w:r>
      <w:r w:rsidRPr="00A8306A">
        <w:rPr>
          <w:sz w:val="24"/>
        </w:rPr>
        <w:t>abigatran</w:t>
      </w:r>
      <w:proofErr w:type="spellEnd"/>
      <w:r w:rsidRPr="00A8306A">
        <w:rPr>
          <w:sz w:val="24"/>
        </w:rPr>
        <w:t xml:space="preserve">) and oral direct factor </w:t>
      </w:r>
      <w:proofErr w:type="spellStart"/>
      <w:r w:rsidRPr="00A8306A">
        <w:rPr>
          <w:sz w:val="24"/>
        </w:rPr>
        <w:t>Xa</w:t>
      </w:r>
      <w:proofErr w:type="spellEnd"/>
      <w:r w:rsidRPr="00A8306A">
        <w:rPr>
          <w:sz w:val="24"/>
        </w:rPr>
        <w:t xml:space="preserve"> inhibitors (</w:t>
      </w:r>
      <w:proofErr w:type="spellStart"/>
      <w:r w:rsidRPr="00A8306A">
        <w:rPr>
          <w:sz w:val="24"/>
        </w:rPr>
        <w:t>e.g.,</w:t>
      </w:r>
      <w:r w:rsidR="00A64849">
        <w:rPr>
          <w:sz w:val="24"/>
        </w:rPr>
        <w:t>R</w:t>
      </w:r>
      <w:r w:rsidRPr="00A8306A">
        <w:rPr>
          <w:sz w:val="24"/>
        </w:rPr>
        <w:t>ivaroxaban,</w:t>
      </w:r>
      <w:r w:rsidR="00A64849">
        <w:rPr>
          <w:sz w:val="24"/>
        </w:rPr>
        <w:t>A</w:t>
      </w:r>
      <w:r w:rsidRPr="00A8306A">
        <w:rPr>
          <w:sz w:val="24"/>
        </w:rPr>
        <w:t>apixaban</w:t>
      </w:r>
      <w:proofErr w:type="spellEnd"/>
      <w:r w:rsidRPr="00A8306A">
        <w:rPr>
          <w:sz w:val="24"/>
        </w:rPr>
        <w:t xml:space="preserve"> and </w:t>
      </w:r>
      <w:proofErr w:type="spellStart"/>
      <w:r w:rsidR="00A64849">
        <w:rPr>
          <w:sz w:val="24"/>
        </w:rPr>
        <w:t>E</w:t>
      </w:r>
      <w:r w:rsidRPr="00A8306A">
        <w:rPr>
          <w:sz w:val="24"/>
        </w:rPr>
        <w:t>doxaban</w:t>
      </w:r>
      <w:proofErr w:type="spellEnd"/>
      <w:r w:rsidRPr="00A8306A">
        <w:rPr>
          <w:sz w:val="24"/>
        </w:rPr>
        <w:t>). Unlike VKAs, which block the formation of multipleactive vitamin K-dependent coagulation factors (factors II, VII, IX and X), these drugs block</w:t>
      </w:r>
      <w:r w:rsidR="000D15A0">
        <w:rPr>
          <w:sz w:val="24"/>
        </w:rPr>
        <w:t xml:space="preserve"> </w:t>
      </w:r>
      <w:r w:rsidRPr="00A8306A">
        <w:rPr>
          <w:sz w:val="24"/>
        </w:rPr>
        <w:t>the activity of one single step in coagulation.</w:t>
      </w:r>
    </w:p>
    <w:p w:rsidR="00D55B40" w:rsidRDefault="00D55B40" w:rsidP="00A8306A">
      <w:pPr>
        <w:rPr>
          <w:sz w:val="24"/>
        </w:rPr>
      </w:pPr>
      <w:r>
        <w:rPr>
          <w:noProof/>
          <w:sz w:val="24"/>
          <w:lang w:val="en-IN" w:eastAsia="en-IN" w:bidi="ta-IN"/>
        </w:rPr>
        <w:drawing>
          <wp:inline distT="0" distB="0" distL="0" distR="0">
            <wp:extent cx="6029325" cy="3205836"/>
            <wp:effectExtent l="19050" t="19050" r="28575" b="13614"/>
            <wp:docPr id="8" name="Picture 3" descr="C:\Users\admin\Desktop\Anti coagulant\anticoagu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Anti coagulant\anticoagulant.jpg"/>
                    <pic:cNvPicPr>
                      <a:picLocks noChangeAspect="1" noChangeArrowheads="1"/>
                    </pic:cNvPicPr>
                  </pic:nvPicPr>
                  <pic:blipFill>
                    <a:blip r:embed="rId10"/>
                    <a:srcRect/>
                    <a:stretch>
                      <a:fillRect/>
                    </a:stretch>
                  </pic:blipFill>
                  <pic:spPr bwMode="auto">
                    <a:xfrm>
                      <a:off x="0" y="0"/>
                      <a:ext cx="6029325" cy="3205836"/>
                    </a:xfrm>
                    <a:prstGeom prst="rect">
                      <a:avLst/>
                    </a:prstGeom>
                    <a:noFill/>
                    <a:ln w="3175">
                      <a:solidFill>
                        <a:schemeClr val="tx1"/>
                      </a:solidFill>
                      <a:miter lim="800000"/>
                      <a:headEnd/>
                      <a:tailEnd/>
                    </a:ln>
                  </pic:spPr>
                </pic:pic>
              </a:graphicData>
            </a:graphic>
          </wp:inline>
        </w:drawing>
      </w:r>
    </w:p>
    <w:p w:rsidR="00A8306A" w:rsidRDefault="00A8306A" w:rsidP="00A8306A">
      <w:pPr>
        <w:rPr>
          <w:color w:val="000000"/>
          <w:sz w:val="23"/>
          <w:szCs w:val="23"/>
        </w:rPr>
      </w:pPr>
      <w:r>
        <w:rPr>
          <w:color w:val="000000"/>
          <w:sz w:val="23"/>
          <w:szCs w:val="23"/>
        </w:rPr>
        <w:t xml:space="preserve">Advantages of these new agents including the uses of fixed-dosing with no need for monitoring, few interactions and a wider therapeutic window counteract with their current drawbacks. At the moment, </w:t>
      </w:r>
      <w:proofErr w:type="spellStart"/>
      <w:r w:rsidR="00A64849">
        <w:rPr>
          <w:color w:val="000000"/>
          <w:sz w:val="23"/>
          <w:szCs w:val="23"/>
        </w:rPr>
        <w:t>R</w:t>
      </w:r>
      <w:r>
        <w:rPr>
          <w:color w:val="000000"/>
          <w:sz w:val="23"/>
          <w:szCs w:val="23"/>
        </w:rPr>
        <w:t>ivaroxaban</w:t>
      </w:r>
      <w:proofErr w:type="spellEnd"/>
      <w:r>
        <w:rPr>
          <w:color w:val="000000"/>
          <w:sz w:val="23"/>
          <w:szCs w:val="23"/>
        </w:rPr>
        <w:t xml:space="preserve">, </w:t>
      </w:r>
      <w:proofErr w:type="spellStart"/>
      <w:r w:rsidR="00A64849">
        <w:rPr>
          <w:color w:val="000000"/>
          <w:sz w:val="23"/>
          <w:szCs w:val="23"/>
        </w:rPr>
        <w:t>D</w:t>
      </w:r>
      <w:r>
        <w:rPr>
          <w:color w:val="000000"/>
          <w:sz w:val="23"/>
          <w:szCs w:val="23"/>
        </w:rPr>
        <w:t>abigatran</w:t>
      </w:r>
      <w:proofErr w:type="spellEnd"/>
      <w:r>
        <w:rPr>
          <w:color w:val="000000"/>
          <w:sz w:val="23"/>
          <w:szCs w:val="23"/>
        </w:rPr>
        <w:t xml:space="preserve"> and </w:t>
      </w:r>
      <w:proofErr w:type="spellStart"/>
      <w:r w:rsidR="00A64849">
        <w:rPr>
          <w:color w:val="000000"/>
          <w:sz w:val="23"/>
          <w:szCs w:val="23"/>
        </w:rPr>
        <w:t>A</w:t>
      </w:r>
      <w:r>
        <w:rPr>
          <w:color w:val="000000"/>
          <w:sz w:val="23"/>
          <w:szCs w:val="23"/>
        </w:rPr>
        <w:t>pixaban</w:t>
      </w:r>
      <w:proofErr w:type="spellEnd"/>
      <w:r>
        <w:rPr>
          <w:color w:val="000000"/>
          <w:sz w:val="23"/>
          <w:szCs w:val="23"/>
        </w:rPr>
        <w:t xml:space="preserve"> are approved for antithrombotic prevention in Atrial Fibrillation (AF) by the European Medicines Agency (EMA) and Food and Drug Administration (FDA). Recently, NOACs have been approved for the treatment of Venous </w:t>
      </w:r>
      <w:proofErr w:type="spellStart"/>
      <w:r>
        <w:rPr>
          <w:color w:val="000000"/>
          <w:sz w:val="23"/>
          <w:szCs w:val="23"/>
        </w:rPr>
        <w:t>Thrombo</w:t>
      </w:r>
      <w:proofErr w:type="spellEnd"/>
      <w:r>
        <w:rPr>
          <w:color w:val="000000"/>
          <w:sz w:val="23"/>
          <w:szCs w:val="23"/>
        </w:rPr>
        <w:t xml:space="preserve"> Embolism (VTE) in phase III clinical trials compared with standard heparin/ VKA regimen.</w:t>
      </w:r>
    </w:p>
    <w:p w:rsidR="00243E79" w:rsidRPr="0012013E" w:rsidRDefault="0012013E" w:rsidP="00A8306A">
      <w:pPr>
        <w:rPr>
          <w:b/>
          <w:color w:val="000000"/>
          <w:sz w:val="28"/>
          <w:szCs w:val="23"/>
        </w:rPr>
      </w:pPr>
      <w:proofErr w:type="spellStart"/>
      <w:r w:rsidRPr="0012013E">
        <w:rPr>
          <w:b/>
          <w:color w:val="000000"/>
          <w:sz w:val="28"/>
          <w:szCs w:val="23"/>
        </w:rPr>
        <w:t>Dabigatran</w:t>
      </w:r>
      <w:proofErr w:type="spellEnd"/>
    </w:p>
    <w:p w:rsidR="00A8306A" w:rsidRPr="00A8306A" w:rsidRDefault="0012013E" w:rsidP="00F449EE">
      <w:pPr>
        <w:rPr>
          <w:sz w:val="24"/>
        </w:rPr>
      </w:pPr>
      <w:proofErr w:type="spellStart"/>
      <w:r w:rsidRPr="0012013E">
        <w:rPr>
          <w:sz w:val="24"/>
        </w:rPr>
        <w:t>Dabigatran</w:t>
      </w:r>
      <w:proofErr w:type="spellEnd"/>
      <w:r w:rsidR="000D15A0">
        <w:rPr>
          <w:sz w:val="24"/>
        </w:rPr>
        <w:t xml:space="preserve"> </w:t>
      </w:r>
      <w:proofErr w:type="spellStart"/>
      <w:r w:rsidRPr="0012013E">
        <w:rPr>
          <w:sz w:val="24"/>
        </w:rPr>
        <w:t>etexilate</w:t>
      </w:r>
      <w:proofErr w:type="spellEnd"/>
      <w:r w:rsidRPr="0012013E">
        <w:rPr>
          <w:sz w:val="24"/>
        </w:rPr>
        <w:t xml:space="preserve"> is an orally administered pro-drug of </w:t>
      </w:r>
      <w:proofErr w:type="spellStart"/>
      <w:r w:rsidR="00A64849">
        <w:rPr>
          <w:sz w:val="24"/>
        </w:rPr>
        <w:t>D</w:t>
      </w:r>
      <w:r w:rsidRPr="0012013E">
        <w:rPr>
          <w:sz w:val="24"/>
        </w:rPr>
        <w:t>abigatran</w:t>
      </w:r>
      <w:proofErr w:type="spellEnd"/>
      <w:r w:rsidRPr="0012013E">
        <w:rPr>
          <w:sz w:val="24"/>
        </w:rPr>
        <w:t>, a reversible thrombin inhibitor.</w:t>
      </w:r>
      <w:r w:rsidR="000D15A0">
        <w:rPr>
          <w:sz w:val="24"/>
        </w:rPr>
        <w:t xml:space="preserve"> </w:t>
      </w:r>
      <w:proofErr w:type="spellStart"/>
      <w:r w:rsidR="00F871FE" w:rsidRPr="00F871FE">
        <w:rPr>
          <w:sz w:val="24"/>
        </w:rPr>
        <w:t>Dabigatran</w:t>
      </w:r>
      <w:proofErr w:type="spellEnd"/>
      <w:r w:rsidR="000D15A0">
        <w:rPr>
          <w:sz w:val="24"/>
        </w:rPr>
        <w:t xml:space="preserve"> </w:t>
      </w:r>
      <w:proofErr w:type="spellStart"/>
      <w:r w:rsidR="00F871FE" w:rsidRPr="00F871FE">
        <w:rPr>
          <w:sz w:val="24"/>
        </w:rPr>
        <w:t>etexilate</w:t>
      </w:r>
      <w:proofErr w:type="spellEnd"/>
      <w:r w:rsidR="00F871FE" w:rsidRPr="00F871FE">
        <w:rPr>
          <w:sz w:val="24"/>
        </w:rPr>
        <w:t xml:space="preserve"> has a </w:t>
      </w:r>
      <w:proofErr w:type="spellStart"/>
      <w:r w:rsidR="00F871FE" w:rsidRPr="00F871FE">
        <w:rPr>
          <w:sz w:val="24"/>
        </w:rPr>
        <w:t>bioavalability</w:t>
      </w:r>
      <w:proofErr w:type="spellEnd"/>
      <w:r w:rsidR="00F871FE" w:rsidRPr="00F871FE">
        <w:rPr>
          <w:sz w:val="24"/>
        </w:rPr>
        <w:t xml:space="preserve"> of 7.2%.</w:t>
      </w:r>
      <w:r w:rsidR="000D15A0">
        <w:rPr>
          <w:sz w:val="24"/>
        </w:rPr>
        <w:t xml:space="preserve"> </w:t>
      </w:r>
      <w:r w:rsidR="00F871FE" w:rsidRPr="00F871FE">
        <w:rPr>
          <w:sz w:val="24"/>
        </w:rPr>
        <w:t>Peak</w:t>
      </w:r>
      <w:r w:rsidR="000D15A0">
        <w:rPr>
          <w:sz w:val="24"/>
        </w:rPr>
        <w:t xml:space="preserve"> </w:t>
      </w:r>
      <w:r w:rsidR="00F871FE" w:rsidRPr="00F871FE">
        <w:rPr>
          <w:sz w:val="24"/>
        </w:rPr>
        <w:t xml:space="preserve">plasma concentrations are attained 1.5–3 h after intake </w:t>
      </w:r>
      <w:proofErr w:type="gramStart"/>
      <w:r w:rsidR="00F871FE" w:rsidRPr="00F871FE">
        <w:rPr>
          <w:sz w:val="24"/>
        </w:rPr>
        <w:t>of</w:t>
      </w:r>
      <w:r w:rsidR="000D15A0">
        <w:rPr>
          <w:sz w:val="24"/>
        </w:rPr>
        <w:t xml:space="preserve">  </w:t>
      </w:r>
      <w:r w:rsidR="00F871FE" w:rsidRPr="00F871FE">
        <w:rPr>
          <w:sz w:val="24"/>
        </w:rPr>
        <w:t>the</w:t>
      </w:r>
      <w:proofErr w:type="gramEnd"/>
      <w:r w:rsidR="00F871FE" w:rsidRPr="00F871FE">
        <w:rPr>
          <w:sz w:val="24"/>
        </w:rPr>
        <w:t xml:space="preserve"> pro</w:t>
      </w:r>
      <w:r w:rsidR="00A64849">
        <w:rPr>
          <w:sz w:val="24"/>
        </w:rPr>
        <w:t>-</w:t>
      </w:r>
      <w:r w:rsidR="00F871FE" w:rsidRPr="00F871FE">
        <w:rPr>
          <w:sz w:val="24"/>
        </w:rPr>
        <w:t>drug.</w:t>
      </w:r>
      <w:r w:rsidR="000D15A0">
        <w:rPr>
          <w:sz w:val="24"/>
        </w:rPr>
        <w:t xml:space="preserve"> </w:t>
      </w:r>
      <w:r w:rsidR="00F871FE" w:rsidRPr="00F871FE">
        <w:rPr>
          <w:sz w:val="24"/>
        </w:rPr>
        <w:t>It has a half-life of 14–17 h in healthy volunteers</w:t>
      </w:r>
      <w:r w:rsidR="00F871FE">
        <w:rPr>
          <w:sz w:val="24"/>
        </w:rPr>
        <w:t xml:space="preserve">. </w:t>
      </w:r>
      <w:r w:rsidR="00F871FE" w:rsidRPr="00F871FE">
        <w:rPr>
          <w:sz w:val="24"/>
        </w:rPr>
        <w:t xml:space="preserve">Because </w:t>
      </w:r>
      <w:proofErr w:type="spellStart"/>
      <w:r w:rsidR="00A64849">
        <w:rPr>
          <w:sz w:val="24"/>
        </w:rPr>
        <w:t>D</w:t>
      </w:r>
      <w:r w:rsidR="00F871FE" w:rsidRPr="00F871FE">
        <w:rPr>
          <w:sz w:val="24"/>
        </w:rPr>
        <w:t>abigatran</w:t>
      </w:r>
      <w:proofErr w:type="spellEnd"/>
      <w:r w:rsidR="00F871FE" w:rsidRPr="00F871FE">
        <w:rPr>
          <w:sz w:val="24"/>
        </w:rPr>
        <w:t xml:space="preserve"> is cleared mostly through the kidneys (80%), its elimination half-life is doubled from 14 to 28 hours in patients with end-stage renal disease.</w:t>
      </w:r>
      <w:r w:rsidR="00D37AD2" w:rsidRPr="00D37AD2">
        <w:rPr>
          <w:sz w:val="24"/>
        </w:rPr>
        <w:t xml:space="preserve">The drug is contraindicated in patients with </w:t>
      </w:r>
      <w:proofErr w:type="spellStart"/>
      <w:r w:rsidR="00D37AD2" w:rsidRPr="00D37AD2">
        <w:rPr>
          <w:sz w:val="24"/>
        </w:rPr>
        <w:t>CrCl</w:t>
      </w:r>
      <w:proofErr w:type="spellEnd"/>
      <w:r w:rsidR="00D37AD2" w:rsidRPr="00D37AD2">
        <w:rPr>
          <w:sz w:val="24"/>
        </w:rPr>
        <w:t xml:space="preserve"> ,30 ml kg</w:t>
      </w:r>
      <w:r w:rsidR="00D37AD2">
        <w:rPr>
          <w:sz w:val="24"/>
        </w:rPr>
        <w:t>/</w:t>
      </w:r>
      <w:r w:rsidR="00D37AD2" w:rsidRPr="00D37AD2">
        <w:rPr>
          <w:sz w:val="24"/>
        </w:rPr>
        <w:t>min</w:t>
      </w:r>
      <w:r w:rsidR="00D37AD2">
        <w:rPr>
          <w:sz w:val="24"/>
        </w:rPr>
        <w:t xml:space="preserve">. </w:t>
      </w:r>
      <w:proofErr w:type="spellStart"/>
      <w:r w:rsidR="00F449EE" w:rsidRPr="00F449EE">
        <w:rPr>
          <w:sz w:val="24"/>
        </w:rPr>
        <w:t>Dabigatran</w:t>
      </w:r>
      <w:proofErr w:type="spellEnd"/>
      <w:r w:rsidR="000D15A0">
        <w:rPr>
          <w:sz w:val="24"/>
        </w:rPr>
        <w:t xml:space="preserve"> </w:t>
      </w:r>
      <w:proofErr w:type="spellStart"/>
      <w:r w:rsidR="00F449EE" w:rsidRPr="00F449EE">
        <w:rPr>
          <w:sz w:val="24"/>
        </w:rPr>
        <w:t>etexilate</w:t>
      </w:r>
      <w:proofErr w:type="spellEnd"/>
      <w:r w:rsidR="000D15A0">
        <w:rPr>
          <w:sz w:val="24"/>
        </w:rPr>
        <w:t xml:space="preserve"> </w:t>
      </w:r>
      <w:r w:rsidR="00F449EE" w:rsidRPr="00F449EE">
        <w:rPr>
          <w:sz w:val="24"/>
        </w:rPr>
        <w:t>is a substrate for the transporter P-glycoprotein (P-</w:t>
      </w:r>
      <w:proofErr w:type="spellStart"/>
      <w:r w:rsidR="00F449EE" w:rsidRPr="00F449EE">
        <w:rPr>
          <w:sz w:val="24"/>
        </w:rPr>
        <w:t>gp</w:t>
      </w:r>
      <w:proofErr w:type="spellEnd"/>
      <w:r w:rsidR="00F449EE" w:rsidRPr="00F449EE">
        <w:rPr>
          <w:sz w:val="24"/>
        </w:rPr>
        <w:t xml:space="preserve">); </w:t>
      </w:r>
      <w:proofErr w:type="spellStart"/>
      <w:r w:rsidR="00A64849">
        <w:rPr>
          <w:sz w:val="24"/>
        </w:rPr>
        <w:t>D</w:t>
      </w:r>
      <w:r w:rsidR="00F449EE" w:rsidRPr="00F449EE">
        <w:rPr>
          <w:sz w:val="24"/>
        </w:rPr>
        <w:t>abigatran</w:t>
      </w:r>
      <w:proofErr w:type="spellEnd"/>
      <w:r w:rsidR="00F449EE" w:rsidRPr="00F449EE">
        <w:rPr>
          <w:sz w:val="24"/>
        </w:rPr>
        <w:t xml:space="preserve"> itself is not.</w:t>
      </w:r>
      <w:r w:rsidR="000D15A0">
        <w:rPr>
          <w:sz w:val="24"/>
        </w:rPr>
        <w:t xml:space="preserve"> </w:t>
      </w:r>
      <w:r w:rsidR="00F449EE" w:rsidRPr="00F449EE">
        <w:rPr>
          <w:sz w:val="24"/>
        </w:rPr>
        <w:t>Drugs that inhibit P-</w:t>
      </w:r>
      <w:proofErr w:type="spellStart"/>
      <w:r w:rsidR="00F449EE" w:rsidRPr="00F449EE">
        <w:rPr>
          <w:sz w:val="24"/>
        </w:rPr>
        <w:t>gp</w:t>
      </w:r>
      <w:proofErr w:type="spellEnd"/>
      <w:r w:rsidR="00F449EE" w:rsidRPr="00F449EE">
        <w:rPr>
          <w:sz w:val="24"/>
        </w:rPr>
        <w:t xml:space="preserve"> lead to a </w:t>
      </w:r>
      <w:r w:rsidR="00F449EE" w:rsidRPr="00F449EE">
        <w:rPr>
          <w:sz w:val="24"/>
        </w:rPr>
        <w:lastRenderedPageBreak/>
        <w:t>higher</w:t>
      </w:r>
      <w:r w:rsidR="000D15A0">
        <w:rPr>
          <w:sz w:val="24"/>
        </w:rPr>
        <w:t xml:space="preserve"> </w:t>
      </w:r>
      <w:r w:rsidR="00F449EE" w:rsidRPr="00F449EE">
        <w:rPr>
          <w:sz w:val="24"/>
        </w:rPr>
        <w:t xml:space="preserve">bioavailability of </w:t>
      </w:r>
      <w:proofErr w:type="spellStart"/>
      <w:r w:rsidR="00A64849">
        <w:rPr>
          <w:sz w:val="24"/>
        </w:rPr>
        <w:t>D</w:t>
      </w:r>
      <w:r w:rsidR="00F449EE" w:rsidRPr="00F449EE">
        <w:rPr>
          <w:sz w:val="24"/>
        </w:rPr>
        <w:t>abigatran</w:t>
      </w:r>
      <w:proofErr w:type="spellEnd"/>
      <w:r w:rsidR="00F449EE" w:rsidRPr="00F449EE">
        <w:rPr>
          <w:sz w:val="24"/>
        </w:rPr>
        <w:t xml:space="preserve">; as a result a lower dose of </w:t>
      </w:r>
      <w:proofErr w:type="spellStart"/>
      <w:r w:rsidR="00A64849">
        <w:rPr>
          <w:sz w:val="24"/>
        </w:rPr>
        <w:t>D</w:t>
      </w:r>
      <w:r w:rsidR="00F449EE" w:rsidRPr="00F449EE">
        <w:rPr>
          <w:sz w:val="24"/>
        </w:rPr>
        <w:t>abigatran</w:t>
      </w:r>
      <w:proofErr w:type="spellEnd"/>
      <w:r w:rsidR="00F449EE" w:rsidRPr="00F449EE">
        <w:rPr>
          <w:sz w:val="24"/>
        </w:rPr>
        <w:t xml:space="preserve"> is recommended in those patient</w:t>
      </w:r>
      <w:r w:rsidR="000D15A0">
        <w:rPr>
          <w:sz w:val="24"/>
        </w:rPr>
        <w:t xml:space="preserve">s </w:t>
      </w:r>
      <w:r w:rsidR="00F449EE" w:rsidRPr="00F449EE">
        <w:rPr>
          <w:sz w:val="24"/>
        </w:rPr>
        <w:t>taking P-</w:t>
      </w:r>
      <w:proofErr w:type="spellStart"/>
      <w:r w:rsidR="00F449EE" w:rsidRPr="00F449EE">
        <w:rPr>
          <w:sz w:val="24"/>
        </w:rPr>
        <w:t>gp</w:t>
      </w:r>
      <w:proofErr w:type="spellEnd"/>
      <w:r w:rsidR="00F449EE" w:rsidRPr="00F449EE">
        <w:rPr>
          <w:sz w:val="24"/>
        </w:rPr>
        <w:t xml:space="preserve"> inhibitors (e.g. </w:t>
      </w:r>
      <w:proofErr w:type="spellStart"/>
      <w:r w:rsidR="00A64849">
        <w:rPr>
          <w:sz w:val="24"/>
        </w:rPr>
        <w:t>V</w:t>
      </w:r>
      <w:r w:rsidR="00F449EE" w:rsidRPr="00F449EE">
        <w:rPr>
          <w:sz w:val="24"/>
        </w:rPr>
        <w:t>erapamil</w:t>
      </w:r>
      <w:proofErr w:type="spellEnd"/>
      <w:r w:rsidR="00F449EE" w:rsidRPr="00F449EE">
        <w:rPr>
          <w:sz w:val="24"/>
        </w:rPr>
        <w:t xml:space="preserve"> or </w:t>
      </w:r>
      <w:proofErr w:type="spellStart"/>
      <w:r w:rsidR="00A64849">
        <w:rPr>
          <w:sz w:val="24"/>
        </w:rPr>
        <w:t>A</w:t>
      </w:r>
      <w:r w:rsidR="00F449EE" w:rsidRPr="00F449EE">
        <w:rPr>
          <w:sz w:val="24"/>
        </w:rPr>
        <w:t>miodarone</w:t>
      </w:r>
      <w:proofErr w:type="spellEnd"/>
      <w:r w:rsidR="00F449EE" w:rsidRPr="00F449EE">
        <w:rPr>
          <w:sz w:val="24"/>
        </w:rPr>
        <w:t>).</w:t>
      </w:r>
    </w:p>
    <w:p w:rsidR="00687CC3" w:rsidRDefault="00F449EE" w:rsidP="00FE78B9">
      <w:pPr>
        <w:rPr>
          <w:sz w:val="24"/>
        </w:rPr>
      </w:pPr>
      <w:r w:rsidRPr="00F449EE">
        <w:rPr>
          <w:sz w:val="24"/>
        </w:rPr>
        <w:t xml:space="preserve">Thrombin time is a highly sensitive test that has been used to detect the anticoagulant effects of </w:t>
      </w:r>
      <w:proofErr w:type="spellStart"/>
      <w:r w:rsidR="006757D7">
        <w:rPr>
          <w:sz w:val="24"/>
        </w:rPr>
        <w:t>D</w:t>
      </w:r>
      <w:r w:rsidRPr="00F449EE">
        <w:rPr>
          <w:sz w:val="24"/>
        </w:rPr>
        <w:t>abigatran</w:t>
      </w:r>
      <w:proofErr w:type="spellEnd"/>
      <w:r w:rsidRPr="00F449EE">
        <w:rPr>
          <w:sz w:val="24"/>
        </w:rPr>
        <w:t xml:space="preserve">. However, thrombin time is not useful in quantifying the effect because it lacks a linear correlation with </w:t>
      </w:r>
      <w:proofErr w:type="spellStart"/>
      <w:r w:rsidR="006757D7">
        <w:rPr>
          <w:sz w:val="24"/>
        </w:rPr>
        <w:t>D</w:t>
      </w:r>
      <w:r w:rsidRPr="00F449EE">
        <w:rPr>
          <w:sz w:val="24"/>
        </w:rPr>
        <w:t>abigatran</w:t>
      </w:r>
      <w:proofErr w:type="spellEnd"/>
      <w:r w:rsidRPr="00F449EE">
        <w:rPr>
          <w:sz w:val="24"/>
        </w:rPr>
        <w:t xml:space="preserve"> drug concentrations. The </w:t>
      </w:r>
      <w:proofErr w:type="spellStart"/>
      <w:r w:rsidR="006757D7">
        <w:rPr>
          <w:sz w:val="24"/>
        </w:rPr>
        <w:t>E</w:t>
      </w:r>
      <w:r w:rsidRPr="00F449EE">
        <w:rPr>
          <w:sz w:val="24"/>
        </w:rPr>
        <w:t>carin</w:t>
      </w:r>
      <w:proofErr w:type="spellEnd"/>
      <w:r w:rsidR="00FE78B9">
        <w:rPr>
          <w:sz w:val="24"/>
        </w:rPr>
        <w:t>(</w:t>
      </w:r>
      <w:proofErr w:type="spellStart"/>
      <w:r w:rsidR="00FE78B9" w:rsidRPr="00FE78B9">
        <w:rPr>
          <w:sz w:val="24"/>
        </w:rPr>
        <w:t>Ecarin</w:t>
      </w:r>
      <w:proofErr w:type="spellEnd"/>
      <w:r w:rsidR="00FE78B9" w:rsidRPr="00FE78B9">
        <w:rPr>
          <w:sz w:val="24"/>
        </w:rPr>
        <w:t xml:space="preserve"> is a commercially available snake venom</w:t>
      </w:r>
      <w:r w:rsidR="000D15A0">
        <w:rPr>
          <w:sz w:val="24"/>
        </w:rPr>
        <w:t xml:space="preserve"> </w:t>
      </w:r>
      <w:r w:rsidR="00FE78B9" w:rsidRPr="00FE78B9">
        <w:rPr>
          <w:sz w:val="24"/>
        </w:rPr>
        <w:t xml:space="preserve">that converts </w:t>
      </w:r>
      <w:proofErr w:type="spellStart"/>
      <w:r w:rsidR="00FE78B9" w:rsidRPr="00FE78B9">
        <w:rPr>
          <w:sz w:val="24"/>
        </w:rPr>
        <w:t>prothrombin</w:t>
      </w:r>
      <w:proofErr w:type="spellEnd"/>
      <w:r w:rsidR="00FE78B9" w:rsidRPr="00FE78B9">
        <w:rPr>
          <w:sz w:val="24"/>
        </w:rPr>
        <w:t xml:space="preserve"> to </w:t>
      </w:r>
      <w:proofErr w:type="spellStart"/>
      <w:r w:rsidR="00FE78B9" w:rsidRPr="00FE78B9">
        <w:rPr>
          <w:sz w:val="24"/>
        </w:rPr>
        <w:t>meizothrombin</w:t>
      </w:r>
      <w:proofErr w:type="spellEnd"/>
      <w:r w:rsidR="00FE78B9">
        <w:rPr>
          <w:sz w:val="24"/>
        </w:rPr>
        <w:t xml:space="preserve">) </w:t>
      </w:r>
      <w:r w:rsidR="006757D7">
        <w:rPr>
          <w:sz w:val="24"/>
        </w:rPr>
        <w:t>C</w:t>
      </w:r>
      <w:r w:rsidRPr="00F449EE">
        <w:rPr>
          <w:sz w:val="24"/>
        </w:rPr>
        <w:t xml:space="preserve">lotting </w:t>
      </w:r>
      <w:r w:rsidR="006757D7">
        <w:rPr>
          <w:sz w:val="24"/>
        </w:rPr>
        <w:t>T</w:t>
      </w:r>
      <w:r w:rsidRPr="00F449EE">
        <w:rPr>
          <w:sz w:val="24"/>
        </w:rPr>
        <w:t xml:space="preserve">ime, on the other hand, has a linear correlation with </w:t>
      </w:r>
      <w:proofErr w:type="spellStart"/>
      <w:r w:rsidR="006757D7">
        <w:rPr>
          <w:sz w:val="24"/>
        </w:rPr>
        <w:t>D</w:t>
      </w:r>
      <w:r w:rsidRPr="00F449EE">
        <w:rPr>
          <w:sz w:val="24"/>
        </w:rPr>
        <w:t>abigatran</w:t>
      </w:r>
      <w:proofErr w:type="spellEnd"/>
      <w:r w:rsidRPr="00F449EE">
        <w:rPr>
          <w:sz w:val="24"/>
        </w:rPr>
        <w:t xml:space="preserve"> concentrations and is considered to be the most sensitive assay for </w:t>
      </w:r>
      <w:r w:rsidR="006757D7">
        <w:rPr>
          <w:sz w:val="24"/>
        </w:rPr>
        <w:t>D</w:t>
      </w:r>
      <w:r w:rsidRPr="00F449EE">
        <w:rPr>
          <w:sz w:val="24"/>
        </w:rPr>
        <w:t>abigatran</w:t>
      </w:r>
      <w:r>
        <w:rPr>
          <w:sz w:val="24"/>
          <w:vertAlign w:val="superscript"/>
        </w:rPr>
        <w:t>15</w:t>
      </w:r>
      <w:r>
        <w:rPr>
          <w:sz w:val="24"/>
        </w:rPr>
        <w:t xml:space="preserve">. </w:t>
      </w:r>
      <w:r w:rsidRPr="00F449EE">
        <w:rPr>
          <w:sz w:val="24"/>
        </w:rPr>
        <w:t xml:space="preserve">Although activated partial </w:t>
      </w:r>
      <w:proofErr w:type="spellStart"/>
      <w:r w:rsidRPr="00F449EE">
        <w:rPr>
          <w:sz w:val="24"/>
        </w:rPr>
        <w:t>thromboplastin</w:t>
      </w:r>
      <w:proofErr w:type="spellEnd"/>
      <w:r w:rsidRPr="00F449EE">
        <w:rPr>
          <w:sz w:val="24"/>
        </w:rPr>
        <w:t xml:space="preserve"> time is prolonged after </w:t>
      </w:r>
      <w:proofErr w:type="spellStart"/>
      <w:r w:rsidR="006757D7">
        <w:rPr>
          <w:sz w:val="24"/>
        </w:rPr>
        <w:t>D</w:t>
      </w:r>
      <w:r w:rsidRPr="00F449EE">
        <w:rPr>
          <w:sz w:val="24"/>
        </w:rPr>
        <w:t>abigatran</w:t>
      </w:r>
      <w:proofErr w:type="spellEnd"/>
      <w:r w:rsidRPr="00F449EE">
        <w:rPr>
          <w:sz w:val="24"/>
        </w:rPr>
        <w:t xml:space="preserve"> administration, it lacks a linear correlation. The PT is the least sensitive test.</w:t>
      </w:r>
    </w:p>
    <w:p w:rsidR="00FE78B9" w:rsidRPr="00FE78B9" w:rsidRDefault="00FE78B9" w:rsidP="00FE78B9">
      <w:pPr>
        <w:spacing w:before="100" w:beforeAutospacing="1" w:after="100" w:afterAutospacing="1" w:line="240" w:lineRule="auto"/>
        <w:rPr>
          <w:rFonts w:eastAsia="Times New Roman" w:cstheme="minorHAnsi"/>
          <w:sz w:val="24"/>
          <w:szCs w:val="24"/>
        </w:rPr>
      </w:pPr>
      <w:r w:rsidRPr="00FE78B9">
        <w:rPr>
          <w:rFonts w:eastAsia="Times New Roman" w:cstheme="minorHAnsi"/>
          <w:sz w:val="24"/>
          <w:szCs w:val="24"/>
        </w:rPr>
        <w:t xml:space="preserve">The 2015 ASRA guidelines for interventional pain procedures recommend an interval equal to 5 half-lives (4-5 days) between drug discontinuation and </w:t>
      </w:r>
      <w:proofErr w:type="spellStart"/>
      <w:r w:rsidRPr="00FE78B9">
        <w:rPr>
          <w:rFonts w:eastAsia="Times New Roman" w:cstheme="minorHAnsi"/>
          <w:sz w:val="24"/>
          <w:szCs w:val="24"/>
        </w:rPr>
        <w:t>neuraxial</w:t>
      </w:r>
      <w:proofErr w:type="spellEnd"/>
      <w:r w:rsidRPr="00FE78B9">
        <w:rPr>
          <w:rFonts w:eastAsia="Times New Roman" w:cstheme="minorHAnsi"/>
          <w:sz w:val="24"/>
          <w:szCs w:val="24"/>
        </w:rPr>
        <w:t xml:space="preserve"> procedures to allow the majority of the drug to be cleared</w:t>
      </w:r>
      <w:r w:rsidR="006A6824">
        <w:rPr>
          <w:rFonts w:eastAsia="Times New Roman" w:cstheme="minorHAnsi"/>
          <w:sz w:val="24"/>
          <w:szCs w:val="24"/>
          <w:vertAlign w:val="superscript"/>
        </w:rPr>
        <w:t>16</w:t>
      </w:r>
      <w:r w:rsidRPr="00FE78B9">
        <w:rPr>
          <w:rFonts w:eastAsia="Times New Roman" w:cstheme="minorHAnsi"/>
          <w:sz w:val="24"/>
          <w:szCs w:val="24"/>
        </w:rPr>
        <w:t>.</w:t>
      </w:r>
    </w:p>
    <w:p w:rsidR="00FE78B9" w:rsidRPr="00FE78B9" w:rsidRDefault="00FE78B9" w:rsidP="00FE78B9">
      <w:pPr>
        <w:spacing w:before="100" w:beforeAutospacing="1" w:after="100" w:afterAutospacing="1" w:line="240" w:lineRule="auto"/>
        <w:rPr>
          <w:rFonts w:eastAsia="Times New Roman" w:cstheme="minorHAnsi"/>
          <w:sz w:val="24"/>
          <w:szCs w:val="24"/>
        </w:rPr>
      </w:pPr>
      <w:r w:rsidRPr="00FE78B9">
        <w:rPr>
          <w:rFonts w:eastAsia="Times New Roman" w:cstheme="minorHAnsi"/>
          <w:sz w:val="24"/>
          <w:szCs w:val="24"/>
        </w:rPr>
        <w:t>Recommendations</w:t>
      </w:r>
    </w:p>
    <w:p w:rsidR="00FE78B9" w:rsidRPr="00FE78B9" w:rsidRDefault="00FE78B9" w:rsidP="00FE78B9">
      <w:pPr>
        <w:numPr>
          <w:ilvl w:val="0"/>
          <w:numId w:val="4"/>
        </w:numPr>
        <w:spacing w:before="120" w:after="100" w:afterAutospacing="1" w:line="240" w:lineRule="auto"/>
        <w:ind w:left="240"/>
        <w:rPr>
          <w:rFonts w:eastAsia="Times New Roman" w:cstheme="minorHAnsi"/>
          <w:sz w:val="24"/>
          <w:szCs w:val="24"/>
        </w:rPr>
      </w:pPr>
      <w:r w:rsidRPr="00FE78B9">
        <w:rPr>
          <w:rFonts w:eastAsia="Times New Roman" w:cstheme="minorHAnsi"/>
          <w:sz w:val="24"/>
          <w:szCs w:val="24"/>
        </w:rPr>
        <w:t xml:space="preserve">Time interval for which </w:t>
      </w:r>
      <w:proofErr w:type="spellStart"/>
      <w:r w:rsidR="006757D7">
        <w:rPr>
          <w:rFonts w:eastAsia="Times New Roman" w:cstheme="minorHAnsi"/>
          <w:sz w:val="24"/>
          <w:szCs w:val="24"/>
        </w:rPr>
        <w:t>D</w:t>
      </w:r>
      <w:r w:rsidRPr="00FE78B9">
        <w:rPr>
          <w:rFonts w:eastAsia="Times New Roman" w:cstheme="minorHAnsi"/>
          <w:sz w:val="24"/>
          <w:szCs w:val="24"/>
        </w:rPr>
        <w:t>abigatran</w:t>
      </w:r>
      <w:proofErr w:type="spellEnd"/>
      <w:r w:rsidRPr="00FE78B9">
        <w:rPr>
          <w:rFonts w:eastAsia="Times New Roman" w:cstheme="minorHAnsi"/>
          <w:sz w:val="24"/>
          <w:szCs w:val="24"/>
        </w:rPr>
        <w:t xml:space="preserve"> needs to be discontinued before </w:t>
      </w:r>
      <w:proofErr w:type="spellStart"/>
      <w:r w:rsidRPr="00FE78B9">
        <w:rPr>
          <w:rFonts w:eastAsia="Times New Roman" w:cstheme="minorHAnsi"/>
          <w:sz w:val="24"/>
          <w:szCs w:val="24"/>
        </w:rPr>
        <w:t>neuraxial</w:t>
      </w:r>
      <w:proofErr w:type="spellEnd"/>
      <w:r w:rsidRPr="00FE78B9">
        <w:rPr>
          <w:rFonts w:eastAsia="Times New Roman" w:cstheme="minorHAnsi"/>
          <w:sz w:val="24"/>
          <w:szCs w:val="24"/>
        </w:rPr>
        <w:t xml:space="preserve"> puncture/catheter manipulation or removal: 4 to 5 days.</w:t>
      </w:r>
    </w:p>
    <w:p w:rsidR="00FE78B9" w:rsidRPr="00FE78B9" w:rsidRDefault="00FE78B9" w:rsidP="00FE78B9">
      <w:pPr>
        <w:numPr>
          <w:ilvl w:val="0"/>
          <w:numId w:val="4"/>
        </w:numPr>
        <w:spacing w:before="120" w:after="100" w:afterAutospacing="1" w:line="240" w:lineRule="auto"/>
        <w:ind w:left="240"/>
        <w:rPr>
          <w:rFonts w:eastAsia="Times New Roman" w:cstheme="minorHAnsi"/>
          <w:sz w:val="24"/>
          <w:szCs w:val="24"/>
        </w:rPr>
      </w:pPr>
      <w:r w:rsidRPr="00FE78B9">
        <w:rPr>
          <w:rFonts w:eastAsia="Times New Roman" w:cstheme="minorHAnsi"/>
          <w:sz w:val="24"/>
          <w:szCs w:val="24"/>
        </w:rPr>
        <w:t xml:space="preserve">In patients with end-stage renal disease, because the half-life of </w:t>
      </w:r>
      <w:proofErr w:type="spellStart"/>
      <w:r w:rsidR="006757D7">
        <w:rPr>
          <w:rFonts w:eastAsia="Times New Roman" w:cstheme="minorHAnsi"/>
          <w:sz w:val="24"/>
          <w:szCs w:val="24"/>
        </w:rPr>
        <w:t>D</w:t>
      </w:r>
      <w:r w:rsidRPr="00FE78B9">
        <w:rPr>
          <w:rFonts w:eastAsia="Times New Roman" w:cstheme="minorHAnsi"/>
          <w:sz w:val="24"/>
          <w:szCs w:val="24"/>
        </w:rPr>
        <w:t>abigatran</w:t>
      </w:r>
      <w:proofErr w:type="spellEnd"/>
      <w:r w:rsidRPr="00FE78B9">
        <w:rPr>
          <w:rFonts w:eastAsia="Times New Roman" w:cstheme="minorHAnsi"/>
          <w:sz w:val="24"/>
          <w:szCs w:val="24"/>
        </w:rPr>
        <w:t xml:space="preserve"> is around 28 hours, it is advised to wait 6 days before </w:t>
      </w:r>
      <w:proofErr w:type="spellStart"/>
      <w:r w:rsidRPr="00FE78B9">
        <w:rPr>
          <w:rFonts w:eastAsia="Times New Roman" w:cstheme="minorHAnsi"/>
          <w:sz w:val="24"/>
          <w:szCs w:val="24"/>
        </w:rPr>
        <w:t>neuraxial</w:t>
      </w:r>
      <w:proofErr w:type="spellEnd"/>
      <w:r w:rsidRPr="00FE78B9">
        <w:rPr>
          <w:rFonts w:eastAsia="Times New Roman" w:cstheme="minorHAnsi"/>
          <w:sz w:val="24"/>
          <w:szCs w:val="24"/>
        </w:rPr>
        <w:t xml:space="preserve"> intervention.</w:t>
      </w:r>
    </w:p>
    <w:p w:rsidR="00FE78B9" w:rsidRPr="00FE78B9" w:rsidRDefault="00FE78B9" w:rsidP="00FE78B9">
      <w:pPr>
        <w:numPr>
          <w:ilvl w:val="0"/>
          <w:numId w:val="4"/>
        </w:numPr>
        <w:spacing w:before="120" w:after="100" w:afterAutospacing="1" w:line="240" w:lineRule="auto"/>
        <w:ind w:left="240"/>
        <w:rPr>
          <w:rFonts w:eastAsia="Times New Roman" w:cstheme="minorHAnsi"/>
          <w:sz w:val="24"/>
          <w:szCs w:val="24"/>
        </w:rPr>
      </w:pPr>
      <w:r w:rsidRPr="00FE78B9">
        <w:rPr>
          <w:rFonts w:eastAsia="Times New Roman" w:cstheme="minorHAnsi"/>
          <w:sz w:val="24"/>
          <w:szCs w:val="24"/>
        </w:rPr>
        <w:t xml:space="preserve">Time interval when </w:t>
      </w:r>
      <w:proofErr w:type="spellStart"/>
      <w:r w:rsidR="006757D7">
        <w:rPr>
          <w:rFonts w:eastAsia="Times New Roman" w:cstheme="minorHAnsi"/>
          <w:sz w:val="24"/>
          <w:szCs w:val="24"/>
        </w:rPr>
        <w:t>D</w:t>
      </w:r>
      <w:r w:rsidRPr="00FE78B9">
        <w:rPr>
          <w:rFonts w:eastAsia="Times New Roman" w:cstheme="minorHAnsi"/>
          <w:sz w:val="24"/>
          <w:szCs w:val="24"/>
        </w:rPr>
        <w:t>abigatran</w:t>
      </w:r>
      <w:proofErr w:type="spellEnd"/>
      <w:r w:rsidRPr="00FE78B9">
        <w:rPr>
          <w:rFonts w:eastAsia="Times New Roman" w:cstheme="minorHAnsi"/>
          <w:sz w:val="24"/>
          <w:szCs w:val="24"/>
        </w:rPr>
        <w:t xml:space="preserve"> can be restarted after </w:t>
      </w:r>
      <w:proofErr w:type="spellStart"/>
      <w:r w:rsidRPr="00FE78B9">
        <w:rPr>
          <w:rFonts w:eastAsia="Times New Roman" w:cstheme="minorHAnsi"/>
          <w:sz w:val="24"/>
          <w:szCs w:val="24"/>
        </w:rPr>
        <w:t>neuraxial</w:t>
      </w:r>
      <w:proofErr w:type="spellEnd"/>
      <w:r w:rsidRPr="00FE78B9">
        <w:rPr>
          <w:rFonts w:eastAsia="Times New Roman" w:cstheme="minorHAnsi"/>
          <w:sz w:val="24"/>
          <w:szCs w:val="24"/>
        </w:rPr>
        <w:t xml:space="preserve"> puncture/catheter manipulation or removal: 24 hours. If the risk for VTE is considered to be high, then half the usual drug dose can be administered 12 hours after the procedure.</w:t>
      </w:r>
    </w:p>
    <w:p w:rsidR="001B2B70" w:rsidRDefault="006A6824" w:rsidP="00B94D32">
      <w:pPr>
        <w:rPr>
          <w:sz w:val="24"/>
        </w:rPr>
      </w:pPr>
      <w:r w:rsidRPr="006A6824">
        <w:rPr>
          <w:sz w:val="24"/>
        </w:rPr>
        <w:t xml:space="preserve">It is unlikely that fresh frozen plasma is effective in the reversal of </w:t>
      </w:r>
      <w:proofErr w:type="spellStart"/>
      <w:r w:rsidR="006757D7">
        <w:rPr>
          <w:sz w:val="24"/>
        </w:rPr>
        <w:t>D</w:t>
      </w:r>
      <w:r w:rsidRPr="006A6824">
        <w:rPr>
          <w:sz w:val="24"/>
        </w:rPr>
        <w:t>abigatran</w:t>
      </w:r>
      <w:proofErr w:type="spellEnd"/>
      <w:r w:rsidRPr="006A6824">
        <w:rPr>
          <w:sz w:val="24"/>
        </w:rPr>
        <w:t xml:space="preserve">. Activated charcoal prevents absorption of the </w:t>
      </w:r>
      <w:proofErr w:type="spellStart"/>
      <w:r w:rsidR="006757D7">
        <w:rPr>
          <w:sz w:val="24"/>
        </w:rPr>
        <w:t>D</w:t>
      </w:r>
      <w:r w:rsidRPr="006A6824">
        <w:rPr>
          <w:sz w:val="24"/>
        </w:rPr>
        <w:t>abigatran</w:t>
      </w:r>
      <w:proofErr w:type="spellEnd"/>
      <w:r w:rsidRPr="006A6824">
        <w:rPr>
          <w:sz w:val="24"/>
        </w:rPr>
        <w:t xml:space="preserve"> but needs to be given within 2 hours of ingestion of the drug. Dialysis might speed elimination of the drug. Recombinant factor </w:t>
      </w:r>
      <w:proofErr w:type="spellStart"/>
      <w:r w:rsidRPr="006A6824">
        <w:rPr>
          <w:sz w:val="24"/>
        </w:rPr>
        <w:t>VIIa</w:t>
      </w:r>
      <w:proofErr w:type="spellEnd"/>
      <w:r w:rsidRPr="006A6824">
        <w:rPr>
          <w:sz w:val="24"/>
        </w:rPr>
        <w:t xml:space="preserve"> has been recommended to control hemorrhage. </w:t>
      </w:r>
      <w:proofErr w:type="spellStart"/>
      <w:r w:rsidRPr="006A6824">
        <w:rPr>
          <w:sz w:val="24"/>
        </w:rPr>
        <w:t>Prothrombin</w:t>
      </w:r>
      <w:proofErr w:type="spellEnd"/>
      <w:r w:rsidR="006D5559">
        <w:rPr>
          <w:sz w:val="24"/>
        </w:rPr>
        <w:t xml:space="preserve"> </w:t>
      </w:r>
      <w:r w:rsidR="006757D7">
        <w:rPr>
          <w:sz w:val="24"/>
        </w:rPr>
        <w:t>C</w:t>
      </w:r>
      <w:r w:rsidRPr="006A6824">
        <w:rPr>
          <w:sz w:val="24"/>
        </w:rPr>
        <w:t xml:space="preserve">omplex </w:t>
      </w:r>
      <w:r w:rsidR="006757D7">
        <w:rPr>
          <w:sz w:val="24"/>
        </w:rPr>
        <w:t>C</w:t>
      </w:r>
      <w:r w:rsidRPr="006A6824">
        <w:rPr>
          <w:sz w:val="24"/>
        </w:rPr>
        <w:t xml:space="preserve">oncentrates (PCCs) or concentrated pooled plasma products contain either 3 (factors II, IX, and X) or 4 (factors II, VII, IX, and X) clotting factors. The use of 4-factor PCCs has been suggested, but may not be able to reverse the anticoagulant effect of </w:t>
      </w:r>
      <w:proofErr w:type="spellStart"/>
      <w:r w:rsidR="006757D7">
        <w:rPr>
          <w:sz w:val="24"/>
        </w:rPr>
        <w:t>D</w:t>
      </w:r>
      <w:r w:rsidRPr="006A6824">
        <w:rPr>
          <w:sz w:val="24"/>
        </w:rPr>
        <w:t>abigatran</w:t>
      </w:r>
      <w:proofErr w:type="spellEnd"/>
      <w:r w:rsidRPr="006A6824">
        <w:rPr>
          <w:sz w:val="24"/>
        </w:rPr>
        <w:t>.</w:t>
      </w:r>
      <w:r w:rsidR="006D5559">
        <w:rPr>
          <w:sz w:val="24"/>
        </w:rPr>
        <w:t xml:space="preserve"> </w:t>
      </w:r>
      <w:proofErr w:type="spellStart"/>
      <w:r w:rsidR="008E7C48" w:rsidRPr="008E7C48">
        <w:rPr>
          <w:sz w:val="24"/>
        </w:rPr>
        <w:t>Idarucizumab</w:t>
      </w:r>
      <w:proofErr w:type="spellEnd"/>
      <w:r w:rsidR="008E7C48" w:rsidRPr="008E7C48">
        <w:rPr>
          <w:sz w:val="24"/>
        </w:rPr>
        <w:t xml:space="preserve">, a monoclonal antibody fragment, binds </w:t>
      </w:r>
      <w:proofErr w:type="spellStart"/>
      <w:r w:rsidR="008E7C48">
        <w:rPr>
          <w:sz w:val="24"/>
        </w:rPr>
        <w:t>D</w:t>
      </w:r>
      <w:r w:rsidR="008E7C48" w:rsidRPr="008E7C48">
        <w:rPr>
          <w:sz w:val="24"/>
        </w:rPr>
        <w:t>abigatran</w:t>
      </w:r>
      <w:proofErr w:type="spellEnd"/>
      <w:r w:rsidR="008E7C48" w:rsidRPr="008E7C48">
        <w:rPr>
          <w:sz w:val="24"/>
        </w:rPr>
        <w:t xml:space="preserve"> with an affinity that is 350 times as high as that observed with thrombin</w:t>
      </w:r>
      <w:r w:rsidR="008E7C48">
        <w:rPr>
          <w:sz w:val="24"/>
        </w:rPr>
        <w:t xml:space="preserve">. </w:t>
      </w:r>
      <w:r w:rsidR="008E7C48" w:rsidRPr="008E7C48">
        <w:rPr>
          <w:sz w:val="24"/>
        </w:rPr>
        <w:t xml:space="preserve">Consequently, </w:t>
      </w:r>
      <w:proofErr w:type="spellStart"/>
      <w:r w:rsidR="008E7C48">
        <w:rPr>
          <w:sz w:val="24"/>
        </w:rPr>
        <w:t>I</w:t>
      </w:r>
      <w:r w:rsidR="008E7C48" w:rsidRPr="008E7C48">
        <w:rPr>
          <w:sz w:val="24"/>
        </w:rPr>
        <w:t>darucizumab</w:t>
      </w:r>
      <w:proofErr w:type="spellEnd"/>
      <w:r w:rsidR="008E7C48" w:rsidRPr="008E7C48">
        <w:rPr>
          <w:sz w:val="24"/>
        </w:rPr>
        <w:t xml:space="preserve"> binds free and thrombin-bound </w:t>
      </w:r>
      <w:proofErr w:type="spellStart"/>
      <w:r w:rsidR="008E7C48">
        <w:rPr>
          <w:sz w:val="24"/>
        </w:rPr>
        <w:t>D</w:t>
      </w:r>
      <w:r w:rsidR="008E7C48" w:rsidRPr="008E7C48">
        <w:rPr>
          <w:sz w:val="24"/>
        </w:rPr>
        <w:t>abigatran</w:t>
      </w:r>
      <w:proofErr w:type="spellEnd"/>
      <w:r w:rsidR="008E7C48" w:rsidRPr="008E7C48">
        <w:rPr>
          <w:sz w:val="24"/>
        </w:rPr>
        <w:t xml:space="preserve"> and neutralizes its activity</w:t>
      </w:r>
      <w:r w:rsidR="008E7C48">
        <w:rPr>
          <w:sz w:val="24"/>
        </w:rPr>
        <w:t xml:space="preserve">. </w:t>
      </w:r>
      <w:r w:rsidR="008E7C48" w:rsidRPr="008E7C48">
        <w:rPr>
          <w:sz w:val="24"/>
        </w:rPr>
        <w:t xml:space="preserve">In healthy young volunteers the administration of </w:t>
      </w:r>
      <w:proofErr w:type="spellStart"/>
      <w:r w:rsidR="008E7C48">
        <w:rPr>
          <w:sz w:val="24"/>
        </w:rPr>
        <w:t>I</w:t>
      </w:r>
      <w:r w:rsidR="008E7C48" w:rsidRPr="008E7C48">
        <w:rPr>
          <w:sz w:val="24"/>
        </w:rPr>
        <w:t>darucizumab</w:t>
      </w:r>
      <w:proofErr w:type="spellEnd"/>
      <w:r w:rsidR="008E7C48" w:rsidRPr="008E7C48">
        <w:rPr>
          <w:sz w:val="24"/>
        </w:rPr>
        <w:t xml:space="preserve"> produced immediate and complete reversal of the anticoagulant effects of </w:t>
      </w:r>
      <w:proofErr w:type="spellStart"/>
      <w:r w:rsidR="008E7C48">
        <w:rPr>
          <w:sz w:val="24"/>
        </w:rPr>
        <w:t>D</w:t>
      </w:r>
      <w:r w:rsidR="008E7C48" w:rsidRPr="008E7C48">
        <w:rPr>
          <w:sz w:val="24"/>
        </w:rPr>
        <w:t>abigatran</w:t>
      </w:r>
      <w:proofErr w:type="spellEnd"/>
      <w:r w:rsidR="008E7C48" w:rsidRPr="008E7C48">
        <w:rPr>
          <w:sz w:val="24"/>
        </w:rPr>
        <w:t xml:space="preserve"> without </w:t>
      </w:r>
      <w:proofErr w:type="spellStart"/>
      <w:r w:rsidR="008E7C48" w:rsidRPr="008E7C48">
        <w:rPr>
          <w:sz w:val="24"/>
        </w:rPr>
        <w:t>procoagulant</w:t>
      </w:r>
      <w:proofErr w:type="spellEnd"/>
      <w:r w:rsidR="008E7C48" w:rsidRPr="008E7C48">
        <w:rPr>
          <w:sz w:val="24"/>
        </w:rPr>
        <w:t xml:space="preserve"> effects</w:t>
      </w:r>
      <w:r w:rsidR="008E7C48">
        <w:rPr>
          <w:sz w:val="24"/>
        </w:rPr>
        <w:t xml:space="preserve">.  </w:t>
      </w:r>
      <w:r w:rsidR="0090721B">
        <w:rPr>
          <w:sz w:val="24"/>
        </w:rPr>
        <w:t>This is a f</w:t>
      </w:r>
      <w:r w:rsidR="0090721B" w:rsidRPr="001B2B70">
        <w:rPr>
          <w:sz w:val="24"/>
        </w:rPr>
        <w:t>irst FDA approval of a specific reversal agent for a novel oral anticoagulant (NOAC)</w:t>
      </w:r>
      <w:r w:rsidR="0090721B">
        <w:rPr>
          <w:sz w:val="24"/>
        </w:rPr>
        <w:t xml:space="preserve">. </w:t>
      </w:r>
      <w:proofErr w:type="spellStart"/>
      <w:r w:rsidR="00182C95">
        <w:rPr>
          <w:rFonts w:cstheme="minorHAnsi"/>
          <w:sz w:val="24"/>
        </w:rPr>
        <w:t>I</w:t>
      </w:r>
      <w:r w:rsidR="00182C95" w:rsidRPr="006F036D">
        <w:rPr>
          <w:rFonts w:cstheme="minorHAnsi"/>
          <w:sz w:val="24"/>
        </w:rPr>
        <w:t>darucizumab</w:t>
      </w:r>
      <w:proofErr w:type="spellEnd"/>
      <w:r w:rsidR="00182C95" w:rsidRPr="006F036D">
        <w:rPr>
          <w:rFonts w:cstheme="minorHAnsi"/>
          <w:sz w:val="24"/>
        </w:rPr>
        <w:t xml:space="preserve"> will likely correct </w:t>
      </w:r>
      <w:proofErr w:type="spellStart"/>
      <w:r w:rsidR="00182C95" w:rsidRPr="006F036D">
        <w:rPr>
          <w:rFonts w:cstheme="minorHAnsi"/>
          <w:sz w:val="24"/>
        </w:rPr>
        <w:t>aPTT</w:t>
      </w:r>
      <w:proofErr w:type="spellEnd"/>
      <w:r w:rsidR="00182C95" w:rsidRPr="006F036D">
        <w:rPr>
          <w:rFonts w:cstheme="minorHAnsi"/>
          <w:sz w:val="24"/>
        </w:rPr>
        <w:t xml:space="preserve"> and plasma-diluted thrombin time but the correlation of lab results with improved outcomes is not established</w:t>
      </w:r>
      <w:r w:rsidR="00182C95">
        <w:rPr>
          <w:rFonts w:cstheme="minorHAnsi"/>
          <w:sz w:val="24"/>
        </w:rPr>
        <w:t xml:space="preserve">. </w:t>
      </w:r>
      <w:r w:rsidR="00182C95" w:rsidRPr="006F036D">
        <w:rPr>
          <w:rFonts w:cstheme="minorHAnsi"/>
          <w:sz w:val="24"/>
        </w:rPr>
        <w:t xml:space="preserve">Plasma </w:t>
      </w:r>
      <w:proofErr w:type="spellStart"/>
      <w:r w:rsidR="00182C95">
        <w:rPr>
          <w:rFonts w:cstheme="minorHAnsi"/>
          <w:sz w:val="24"/>
        </w:rPr>
        <w:t>D</w:t>
      </w:r>
      <w:r w:rsidR="00182C95" w:rsidRPr="006F036D">
        <w:rPr>
          <w:rFonts w:cstheme="minorHAnsi"/>
          <w:sz w:val="24"/>
        </w:rPr>
        <w:t>abigatran</w:t>
      </w:r>
      <w:proofErr w:type="spellEnd"/>
      <w:r w:rsidR="00182C95" w:rsidRPr="006F036D">
        <w:rPr>
          <w:rFonts w:cstheme="minorHAnsi"/>
          <w:sz w:val="24"/>
        </w:rPr>
        <w:t xml:space="preserve"> concentrations can </w:t>
      </w:r>
      <w:r w:rsidR="00182C95" w:rsidRPr="006F036D">
        <w:rPr>
          <w:rFonts w:cstheme="minorHAnsi"/>
          <w:sz w:val="24"/>
        </w:rPr>
        <w:lastRenderedPageBreak/>
        <w:t xml:space="preserve">increase more than 12-24 hours after </w:t>
      </w:r>
      <w:proofErr w:type="spellStart"/>
      <w:r w:rsidR="00182C95">
        <w:rPr>
          <w:rFonts w:cstheme="minorHAnsi"/>
          <w:sz w:val="24"/>
        </w:rPr>
        <w:t>I</w:t>
      </w:r>
      <w:r w:rsidR="00182C95" w:rsidRPr="006F036D">
        <w:rPr>
          <w:rFonts w:cstheme="minorHAnsi"/>
          <w:sz w:val="24"/>
        </w:rPr>
        <w:t>darucizumab</w:t>
      </w:r>
      <w:proofErr w:type="spellEnd"/>
      <w:r w:rsidR="00182C95" w:rsidRPr="006F036D">
        <w:rPr>
          <w:rFonts w:cstheme="minorHAnsi"/>
          <w:sz w:val="24"/>
        </w:rPr>
        <w:t xml:space="preserve">, likely due to re-distribution from the extravascular compartment.The risks and benefits of repeat </w:t>
      </w:r>
      <w:proofErr w:type="spellStart"/>
      <w:r w:rsidR="00182C95">
        <w:rPr>
          <w:rFonts w:cstheme="minorHAnsi"/>
          <w:sz w:val="24"/>
        </w:rPr>
        <w:t>I</w:t>
      </w:r>
      <w:r w:rsidR="00182C95" w:rsidRPr="006F036D">
        <w:rPr>
          <w:rFonts w:cstheme="minorHAnsi"/>
          <w:sz w:val="24"/>
        </w:rPr>
        <w:t>darucizumab</w:t>
      </w:r>
      <w:proofErr w:type="spellEnd"/>
      <w:r w:rsidR="00182C95" w:rsidRPr="006F036D">
        <w:rPr>
          <w:rFonts w:cstheme="minorHAnsi"/>
          <w:sz w:val="24"/>
        </w:rPr>
        <w:t xml:space="preserve"> administration are not known</w:t>
      </w:r>
      <w:r w:rsidR="00182C95">
        <w:rPr>
          <w:rFonts w:cstheme="minorHAnsi"/>
          <w:sz w:val="24"/>
        </w:rPr>
        <w:t xml:space="preserve">. </w:t>
      </w:r>
    </w:p>
    <w:p w:rsidR="00687CC3" w:rsidRDefault="008A585A" w:rsidP="00B94D32">
      <w:pPr>
        <w:rPr>
          <w:b/>
          <w:sz w:val="28"/>
        </w:rPr>
      </w:pPr>
      <w:proofErr w:type="spellStart"/>
      <w:r w:rsidRPr="008A585A">
        <w:rPr>
          <w:b/>
          <w:sz w:val="28"/>
        </w:rPr>
        <w:t>Rivaroxaban</w:t>
      </w:r>
      <w:proofErr w:type="spellEnd"/>
    </w:p>
    <w:p w:rsidR="00774634" w:rsidRDefault="00774634" w:rsidP="00CB4C0C">
      <w:pPr>
        <w:rPr>
          <w:sz w:val="24"/>
        </w:rPr>
      </w:pPr>
      <w:proofErr w:type="spellStart"/>
      <w:r w:rsidRPr="00774634">
        <w:rPr>
          <w:sz w:val="24"/>
        </w:rPr>
        <w:t>Rivaroxaban</w:t>
      </w:r>
      <w:r>
        <w:rPr>
          <w:sz w:val="24"/>
        </w:rPr>
        <w:t>is</w:t>
      </w:r>
      <w:proofErr w:type="spellEnd"/>
      <w:r>
        <w:rPr>
          <w:sz w:val="24"/>
        </w:rPr>
        <w:t xml:space="preserve"> a direct factor </w:t>
      </w:r>
      <w:proofErr w:type="spellStart"/>
      <w:r>
        <w:rPr>
          <w:sz w:val="24"/>
        </w:rPr>
        <w:t>Xa</w:t>
      </w:r>
      <w:proofErr w:type="spellEnd"/>
      <w:r>
        <w:rPr>
          <w:sz w:val="24"/>
        </w:rPr>
        <w:t xml:space="preserve"> inhibitor</w:t>
      </w:r>
      <w:r w:rsidRPr="00774634">
        <w:rPr>
          <w:sz w:val="24"/>
        </w:rPr>
        <w:t xml:space="preserve">. Its onset ofaction is rapid and peak plasma concentrations are observedwithin 2.5–4 h. Maximum inhibition of factor </w:t>
      </w:r>
      <w:proofErr w:type="spellStart"/>
      <w:r w:rsidRPr="00774634">
        <w:rPr>
          <w:sz w:val="24"/>
        </w:rPr>
        <w:t>Xa</w:t>
      </w:r>
      <w:proofErr w:type="spellEnd"/>
      <w:r w:rsidRPr="00774634">
        <w:rPr>
          <w:sz w:val="24"/>
        </w:rPr>
        <w:t xml:space="preserve">, </w:t>
      </w:r>
      <w:proofErr w:type="spellStart"/>
      <w:r w:rsidRPr="00774634">
        <w:rPr>
          <w:sz w:val="24"/>
        </w:rPr>
        <w:t>whichranges</w:t>
      </w:r>
      <w:proofErr w:type="spellEnd"/>
      <w:r w:rsidRPr="00774634">
        <w:rPr>
          <w:sz w:val="24"/>
        </w:rPr>
        <w:t xml:space="preserve"> from22%to 68%, occurs </w:t>
      </w:r>
      <w:r>
        <w:rPr>
          <w:sz w:val="24"/>
        </w:rPr>
        <w:t xml:space="preserve">in </w:t>
      </w:r>
      <w:r w:rsidRPr="00774634">
        <w:rPr>
          <w:sz w:val="24"/>
        </w:rPr>
        <w:t>3 h</w:t>
      </w:r>
      <w:r>
        <w:rPr>
          <w:sz w:val="24"/>
        </w:rPr>
        <w:t>rs</w:t>
      </w:r>
      <w:r w:rsidRPr="00774634">
        <w:rPr>
          <w:sz w:val="24"/>
        </w:rPr>
        <w:t xml:space="preserve"> after dosing and is maintainedfor at least 12 h</w:t>
      </w:r>
      <w:r>
        <w:rPr>
          <w:sz w:val="24"/>
        </w:rPr>
        <w:t xml:space="preserve">. </w:t>
      </w:r>
      <w:proofErr w:type="spellStart"/>
      <w:r w:rsidR="00CB4C0C" w:rsidRPr="00CB4C0C">
        <w:rPr>
          <w:sz w:val="24"/>
        </w:rPr>
        <w:t>Rivaroxaban</w:t>
      </w:r>
      <w:proofErr w:type="spellEnd"/>
      <w:r w:rsidR="00CB4C0C" w:rsidRPr="00CB4C0C">
        <w:rPr>
          <w:sz w:val="24"/>
        </w:rPr>
        <w:t xml:space="preserve"> has a terminal</w:t>
      </w:r>
      <w:r w:rsidR="00803433">
        <w:rPr>
          <w:sz w:val="24"/>
        </w:rPr>
        <w:t xml:space="preserve"> </w:t>
      </w:r>
      <w:r w:rsidR="00CB4C0C" w:rsidRPr="00CB4C0C">
        <w:rPr>
          <w:sz w:val="24"/>
        </w:rPr>
        <w:t>half-life of 5.7–9.2 h,</w:t>
      </w:r>
      <w:r w:rsidR="00803433">
        <w:rPr>
          <w:sz w:val="24"/>
        </w:rPr>
        <w:t xml:space="preserve"> </w:t>
      </w:r>
      <w:r w:rsidR="00CB4C0C" w:rsidRPr="00CB4C0C">
        <w:rPr>
          <w:sz w:val="24"/>
        </w:rPr>
        <w:t>but can be as long as 11–13 h inelderly patients</w:t>
      </w:r>
      <w:r w:rsidR="00CB4C0C">
        <w:rPr>
          <w:sz w:val="24"/>
        </w:rPr>
        <w:t xml:space="preserve">. </w:t>
      </w:r>
      <w:r w:rsidR="00CB4C0C" w:rsidRPr="00CB4C0C">
        <w:rPr>
          <w:sz w:val="24"/>
        </w:rPr>
        <w:t>One-third of the drug is eliminated by the kidneys,</w:t>
      </w:r>
      <w:r w:rsidR="00803433">
        <w:rPr>
          <w:sz w:val="24"/>
        </w:rPr>
        <w:t xml:space="preserve"> </w:t>
      </w:r>
      <w:r w:rsidR="00CB4C0C" w:rsidRPr="00CB4C0C">
        <w:rPr>
          <w:sz w:val="24"/>
        </w:rPr>
        <w:t xml:space="preserve">one-third by the </w:t>
      </w:r>
      <w:proofErr w:type="spellStart"/>
      <w:r w:rsidR="00CB4C0C" w:rsidRPr="00CB4C0C">
        <w:rPr>
          <w:sz w:val="24"/>
        </w:rPr>
        <w:t>faecal</w:t>
      </w:r>
      <w:proofErr w:type="spellEnd"/>
      <w:r w:rsidR="00CB4C0C" w:rsidRPr="00CB4C0C">
        <w:rPr>
          <w:sz w:val="24"/>
        </w:rPr>
        <w:t>/</w:t>
      </w:r>
      <w:proofErr w:type="spellStart"/>
      <w:r w:rsidR="00CB4C0C" w:rsidRPr="00CB4C0C">
        <w:rPr>
          <w:sz w:val="24"/>
        </w:rPr>
        <w:t>biliary</w:t>
      </w:r>
      <w:proofErr w:type="spellEnd"/>
      <w:r w:rsidR="00CB4C0C" w:rsidRPr="00CB4C0C">
        <w:rPr>
          <w:sz w:val="24"/>
        </w:rPr>
        <w:t xml:space="preserve"> route, and one-third is metabolized</w:t>
      </w:r>
      <w:r w:rsidR="00803433">
        <w:rPr>
          <w:sz w:val="24"/>
        </w:rPr>
        <w:t xml:space="preserve"> </w:t>
      </w:r>
      <w:r w:rsidR="00CB4C0C" w:rsidRPr="00CB4C0C">
        <w:rPr>
          <w:sz w:val="24"/>
        </w:rPr>
        <w:t>to inactive metabolites</w:t>
      </w:r>
      <w:r w:rsidR="00CB4C0C">
        <w:rPr>
          <w:sz w:val="24"/>
        </w:rPr>
        <w:t xml:space="preserve">. </w:t>
      </w:r>
      <w:r w:rsidR="00CB4C0C" w:rsidRPr="00CB4C0C">
        <w:rPr>
          <w:sz w:val="24"/>
        </w:rPr>
        <w:t xml:space="preserve">Renal clearance of </w:t>
      </w:r>
      <w:proofErr w:type="spellStart"/>
      <w:r w:rsidR="00CB4C0C" w:rsidRPr="00CB4C0C">
        <w:rPr>
          <w:sz w:val="24"/>
        </w:rPr>
        <w:t>rivaroxaban</w:t>
      </w:r>
      <w:proofErr w:type="spellEnd"/>
      <w:r w:rsidR="00803433">
        <w:rPr>
          <w:sz w:val="24"/>
        </w:rPr>
        <w:t xml:space="preserve"> </w:t>
      </w:r>
      <w:r w:rsidR="00CB4C0C" w:rsidRPr="00CB4C0C">
        <w:rPr>
          <w:sz w:val="24"/>
        </w:rPr>
        <w:t xml:space="preserve">decreases with increasing renal impairment. Because </w:t>
      </w:r>
      <w:proofErr w:type="spellStart"/>
      <w:r w:rsidR="008B68EB">
        <w:rPr>
          <w:sz w:val="24"/>
        </w:rPr>
        <w:t>R</w:t>
      </w:r>
      <w:r w:rsidR="00CB4C0C" w:rsidRPr="00CB4C0C">
        <w:rPr>
          <w:sz w:val="24"/>
        </w:rPr>
        <w:t>ivaroxabanis</w:t>
      </w:r>
      <w:proofErr w:type="spellEnd"/>
      <w:r w:rsidR="00CB4C0C" w:rsidRPr="00CB4C0C">
        <w:rPr>
          <w:sz w:val="24"/>
        </w:rPr>
        <w:t xml:space="preserve"> partly metabolized by the liver, its use should be</w:t>
      </w:r>
      <w:r w:rsidR="00803433">
        <w:rPr>
          <w:sz w:val="24"/>
        </w:rPr>
        <w:t xml:space="preserve"> </w:t>
      </w:r>
      <w:r w:rsidR="00CB4C0C" w:rsidRPr="00CB4C0C">
        <w:rPr>
          <w:sz w:val="24"/>
        </w:rPr>
        <w:t>avoided in patients with moderate-to-severe liver disease</w:t>
      </w:r>
      <w:r w:rsidR="00CB4C0C">
        <w:rPr>
          <w:sz w:val="24"/>
        </w:rPr>
        <w:t xml:space="preserve">. </w:t>
      </w:r>
      <w:r w:rsidR="00CB4C0C" w:rsidRPr="00CB4C0C">
        <w:rPr>
          <w:sz w:val="24"/>
        </w:rPr>
        <w:t xml:space="preserve">Drugs that induce (carbamazepine, phenytoin, andrifampin) or inhibit (ketoconazole and ritonavir) P-glycoproteinand CYP 3A4 should not be given with </w:t>
      </w:r>
      <w:proofErr w:type="spellStart"/>
      <w:r w:rsidR="008B68EB">
        <w:rPr>
          <w:sz w:val="24"/>
        </w:rPr>
        <w:t>R</w:t>
      </w:r>
      <w:r w:rsidR="00CB4C0C" w:rsidRPr="00CB4C0C">
        <w:rPr>
          <w:sz w:val="24"/>
        </w:rPr>
        <w:t>ivaroxaban</w:t>
      </w:r>
      <w:proofErr w:type="spellEnd"/>
      <w:r w:rsidR="00CB4C0C">
        <w:rPr>
          <w:sz w:val="24"/>
        </w:rPr>
        <w:t xml:space="preserve">. </w:t>
      </w:r>
    </w:p>
    <w:p w:rsidR="008A585A" w:rsidRPr="008A585A" w:rsidRDefault="00774634" w:rsidP="00774634">
      <w:pPr>
        <w:rPr>
          <w:sz w:val="24"/>
        </w:rPr>
      </w:pPr>
      <w:r w:rsidRPr="00774634">
        <w:rPr>
          <w:sz w:val="24"/>
        </w:rPr>
        <w:t>It is approved for stroke prevention in AF and for VTE prophylaxis following</w:t>
      </w:r>
      <w:r w:rsidR="00803433">
        <w:rPr>
          <w:sz w:val="24"/>
        </w:rPr>
        <w:t xml:space="preserve"> </w:t>
      </w:r>
      <w:proofErr w:type="spellStart"/>
      <w:r w:rsidRPr="00774634">
        <w:rPr>
          <w:sz w:val="24"/>
        </w:rPr>
        <w:t>orthopaedic</w:t>
      </w:r>
      <w:proofErr w:type="spellEnd"/>
      <w:r w:rsidRPr="00774634">
        <w:rPr>
          <w:sz w:val="24"/>
        </w:rPr>
        <w:t xml:space="preserve"> surgery. It is administered orally and commenced at a dose of 10mg once daily 6-10 hours</w:t>
      </w:r>
      <w:r w:rsidR="00803433">
        <w:rPr>
          <w:sz w:val="24"/>
        </w:rPr>
        <w:t xml:space="preserve"> </w:t>
      </w:r>
      <w:r w:rsidRPr="00774634">
        <w:rPr>
          <w:sz w:val="24"/>
        </w:rPr>
        <w:t>post-operatively and continued for two weeks post knee replacement and five weeks post hip</w:t>
      </w:r>
      <w:r w:rsidR="00803433">
        <w:rPr>
          <w:sz w:val="24"/>
        </w:rPr>
        <w:t xml:space="preserve"> </w:t>
      </w:r>
      <w:r w:rsidRPr="00774634">
        <w:rPr>
          <w:sz w:val="24"/>
        </w:rPr>
        <w:t>replacement. When used for prevention of stroke and systemic embolus in patients with AF, 20mg</w:t>
      </w:r>
      <w:r w:rsidR="00803433">
        <w:rPr>
          <w:sz w:val="24"/>
        </w:rPr>
        <w:t xml:space="preserve"> </w:t>
      </w:r>
      <w:proofErr w:type="spellStart"/>
      <w:r w:rsidR="008B68EB">
        <w:rPr>
          <w:sz w:val="24"/>
        </w:rPr>
        <w:t>R</w:t>
      </w:r>
      <w:r w:rsidRPr="00774634">
        <w:rPr>
          <w:sz w:val="24"/>
        </w:rPr>
        <w:t>ivaroxaban</w:t>
      </w:r>
      <w:proofErr w:type="spellEnd"/>
      <w:r w:rsidRPr="00774634">
        <w:rPr>
          <w:sz w:val="24"/>
        </w:rPr>
        <w:t xml:space="preserve"> once daily is advocated</w:t>
      </w:r>
      <w:r>
        <w:rPr>
          <w:sz w:val="24"/>
        </w:rPr>
        <w:t xml:space="preserve">. </w:t>
      </w:r>
    </w:p>
    <w:p w:rsidR="00687CC3" w:rsidRPr="00CB4C0C" w:rsidRDefault="00CB4C0C" w:rsidP="00B94D32">
      <w:pPr>
        <w:rPr>
          <w:sz w:val="24"/>
        </w:rPr>
      </w:pPr>
      <w:proofErr w:type="spellStart"/>
      <w:proofErr w:type="gramStart"/>
      <w:r w:rsidRPr="00CB4C0C">
        <w:rPr>
          <w:sz w:val="24"/>
        </w:rPr>
        <w:t>Rivaroxaban</w:t>
      </w:r>
      <w:proofErr w:type="spellEnd"/>
      <w:r w:rsidR="00803433">
        <w:rPr>
          <w:sz w:val="24"/>
        </w:rPr>
        <w:t xml:space="preserve"> </w:t>
      </w:r>
      <w:r w:rsidRPr="00CB4C0C">
        <w:rPr>
          <w:sz w:val="24"/>
        </w:rPr>
        <w:t xml:space="preserve"> prolongs</w:t>
      </w:r>
      <w:proofErr w:type="gramEnd"/>
      <w:r w:rsidRPr="00CB4C0C">
        <w:rPr>
          <w:sz w:val="24"/>
        </w:rPr>
        <w:t xml:space="preserve"> the </w:t>
      </w:r>
      <w:proofErr w:type="spellStart"/>
      <w:r w:rsidRPr="00CB4C0C">
        <w:rPr>
          <w:sz w:val="24"/>
        </w:rPr>
        <w:t>prothrombin</w:t>
      </w:r>
      <w:proofErr w:type="spellEnd"/>
      <w:r w:rsidRPr="00CB4C0C">
        <w:rPr>
          <w:sz w:val="24"/>
        </w:rPr>
        <w:t xml:space="preserve"> time (PT) in a dose-dependent manner, but until further data are available, monitoring with PT is not recommended. </w:t>
      </w:r>
      <w:r w:rsidR="006D2C83" w:rsidRPr="006D2C83">
        <w:rPr>
          <w:sz w:val="24"/>
        </w:rPr>
        <w:t xml:space="preserve">The anti-Factor </w:t>
      </w:r>
      <w:proofErr w:type="spellStart"/>
      <w:r w:rsidR="006D2C83" w:rsidRPr="006D2C83">
        <w:rPr>
          <w:sz w:val="24"/>
        </w:rPr>
        <w:t>Xa</w:t>
      </w:r>
      <w:proofErr w:type="spellEnd"/>
      <w:r w:rsidR="006D2C83" w:rsidRPr="006D2C83">
        <w:rPr>
          <w:sz w:val="24"/>
        </w:rPr>
        <w:t xml:space="preserve"> </w:t>
      </w:r>
      <w:proofErr w:type="spellStart"/>
      <w:r w:rsidR="006D2C83" w:rsidRPr="006D2C83">
        <w:rPr>
          <w:sz w:val="24"/>
        </w:rPr>
        <w:t>chromogenic</w:t>
      </w:r>
      <w:proofErr w:type="spellEnd"/>
      <w:r w:rsidR="006D2C83" w:rsidRPr="006D2C83">
        <w:rPr>
          <w:sz w:val="24"/>
        </w:rPr>
        <w:t xml:space="preserve"> assay is the most suitable assay for the quantitative assessment of </w:t>
      </w:r>
      <w:proofErr w:type="spellStart"/>
      <w:r w:rsidR="008B68EB">
        <w:rPr>
          <w:sz w:val="24"/>
        </w:rPr>
        <w:t>R</w:t>
      </w:r>
      <w:r w:rsidR="006D2C83" w:rsidRPr="006D2C83">
        <w:rPr>
          <w:sz w:val="24"/>
        </w:rPr>
        <w:t>ivaroxaban</w:t>
      </w:r>
      <w:proofErr w:type="spellEnd"/>
      <w:r w:rsidR="006D2C83">
        <w:rPr>
          <w:sz w:val="24"/>
        </w:rPr>
        <w:t xml:space="preserve">. </w:t>
      </w:r>
      <w:r w:rsidR="006D2C83" w:rsidRPr="006D2C83">
        <w:rPr>
          <w:sz w:val="24"/>
        </w:rPr>
        <w:t xml:space="preserve">If this method is not available or in an emergency situation, such as before urgent surgery, the PT assay (expressed in seconds) using a </w:t>
      </w:r>
      <w:proofErr w:type="spellStart"/>
      <w:r w:rsidR="006D2C83" w:rsidRPr="006D2C83">
        <w:rPr>
          <w:sz w:val="24"/>
        </w:rPr>
        <w:t>thromboplastin</w:t>
      </w:r>
      <w:proofErr w:type="spellEnd"/>
      <w:r w:rsidR="006D2C83" w:rsidRPr="006D2C83">
        <w:rPr>
          <w:sz w:val="24"/>
        </w:rPr>
        <w:t xml:space="preserve"> reagent sensitive to </w:t>
      </w:r>
      <w:proofErr w:type="spellStart"/>
      <w:r w:rsidR="008B68EB">
        <w:rPr>
          <w:sz w:val="24"/>
        </w:rPr>
        <w:t>R</w:t>
      </w:r>
      <w:r w:rsidR="006D2C83" w:rsidRPr="006D2C83">
        <w:rPr>
          <w:sz w:val="24"/>
        </w:rPr>
        <w:t>ivaroxaban</w:t>
      </w:r>
      <w:proofErr w:type="spellEnd"/>
      <w:r w:rsidR="006D2C83" w:rsidRPr="006D2C83">
        <w:rPr>
          <w:sz w:val="24"/>
        </w:rPr>
        <w:t xml:space="preserve"> may be useful to indicate whether the anticoagulant effect of </w:t>
      </w:r>
      <w:proofErr w:type="spellStart"/>
      <w:r w:rsidR="008B68EB">
        <w:rPr>
          <w:sz w:val="24"/>
        </w:rPr>
        <w:t>R</w:t>
      </w:r>
      <w:r w:rsidR="006D2C83" w:rsidRPr="006D2C83">
        <w:rPr>
          <w:sz w:val="24"/>
        </w:rPr>
        <w:t>ivaroxaban</w:t>
      </w:r>
      <w:proofErr w:type="spellEnd"/>
      <w:r w:rsidR="006D2C83" w:rsidRPr="006D2C83">
        <w:rPr>
          <w:sz w:val="24"/>
        </w:rPr>
        <w:t xml:space="preserve"> is present</w:t>
      </w:r>
      <w:r w:rsidR="006D2C83">
        <w:rPr>
          <w:sz w:val="24"/>
          <w:vertAlign w:val="superscript"/>
        </w:rPr>
        <w:t>17</w:t>
      </w:r>
      <w:r w:rsidR="006D2C83">
        <w:rPr>
          <w:sz w:val="24"/>
        </w:rPr>
        <w:t xml:space="preserve">. </w:t>
      </w:r>
      <w:r w:rsidRPr="00CB4C0C">
        <w:rPr>
          <w:sz w:val="24"/>
        </w:rPr>
        <w:t>There is no specific antidote available.</w:t>
      </w:r>
    </w:p>
    <w:p w:rsidR="00687CC3" w:rsidRPr="001D263A" w:rsidRDefault="001D263A" w:rsidP="001D263A">
      <w:pPr>
        <w:rPr>
          <w:sz w:val="24"/>
        </w:rPr>
      </w:pPr>
      <w:r w:rsidRPr="001D263A">
        <w:rPr>
          <w:sz w:val="24"/>
        </w:rPr>
        <w:t>The Scandinavian Society guidelines recommend a</w:t>
      </w:r>
      <w:r w:rsidR="00803433">
        <w:rPr>
          <w:sz w:val="24"/>
        </w:rPr>
        <w:t xml:space="preserve"> </w:t>
      </w:r>
      <w:r w:rsidRPr="001D263A">
        <w:rPr>
          <w:sz w:val="24"/>
        </w:rPr>
        <w:t xml:space="preserve">minimum of 18 h between the last dose of </w:t>
      </w:r>
      <w:proofErr w:type="spellStart"/>
      <w:proofErr w:type="gramStart"/>
      <w:r w:rsidR="008B68EB">
        <w:rPr>
          <w:sz w:val="24"/>
        </w:rPr>
        <w:t>R</w:t>
      </w:r>
      <w:r w:rsidRPr="001D263A">
        <w:rPr>
          <w:sz w:val="24"/>
        </w:rPr>
        <w:t>ivaroxaban</w:t>
      </w:r>
      <w:proofErr w:type="spellEnd"/>
      <w:r w:rsidR="00803433">
        <w:rPr>
          <w:sz w:val="24"/>
        </w:rPr>
        <w:t xml:space="preserve"> </w:t>
      </w:r>
      <w:r w:rsidRPr="001D263A">
        <w:rPr>
          <w:sz w:val="24"/>
        </w:rPr>
        <w:t xml:space="preserve"> and</w:t>
      </w:r>
      <w:proofErr w:type="gramEnd"/>
      <w:r w:rsidR="00803433">
        <w:rPr>
          <w:sz w:val="24"/>
        </w:rPr>
        <w:t xml:space="preserve"> </w:t>
      </w:r>
      <w:r w:rsidRPr="001D263A">
        <w:rPr>
          <w:sz w:val="24"/>
        </w:rPr>
        <w:t>removal of an indwelling catheter, and a minimum of 6 hbefore the next dose</w:t>
      </w:r>
      <w:r>
        <w:rPr>
          <w:sz w:val="24"/>
          <w:vertAlign w:val="superscript"/>
        </w:rPr>
        <w:t xml:space="preserve">18. </w:t>
      </w:r>
      <w:r w:rsidRPr="001D263A">
        <w:rPr>
          <w:sz w:val="24"/>
        </w:rPr>
        <w:t>The European Society guidelines recommend</w:t>
      </w:r>
      <w:r w:rsidR="00803433">
        <w:rPr>
          <w:sz w:val="24"/>
        </w:rPr>
        <w:t xml:space="preserve"> </w:t>
      </w:r>
      <w:r w:rsidRPr="001D263A">
        <w:rPr>
          <w:sz w:val="24"/>
        </w:rPr>
        <w:t xml:space="preserve">an interval of 22–26 h between the last dose of </w:t>
      </w:r>
      <w:proofErr w:type="spellStart"/>
      <w:r w:rsidR="008B68EB">
        <w:rPr>
          <w:sz w:val="24"/>
        </w:rPr>
        <w:t>R</w:t>
      </w:r>
      <w:r w:rsidRPr="001D263A">
        <w:rPr>
          <w:sz w:val="24"/>
        </w:rPr>
        <w:t>ivaroxaban</w:t>
      </w:r>
      <w:proofErr w:type="spellEnd"/>
      <w:r w:rsidR="00803433">
        <w:rPr>
          <w:sz w:val="24"/>
        </w:rPr>
        <w:t xml:space="preserve"> </w:t>
      </w:r>
      <w:r w:rsidRPr="001D263A">
        <w:rPr>
          <w:sz w:val="24"/>
        </w:rPr>
        <w:t>and removal of an indwelling catheter, probably based on</w:t>
      </w:r>
      <w:r w:rsidR="00803433">
        <w:rPr>
          <w:sz w:val="24"/>
        </w:rPr>
        <w:t xml:space="preserve"> </w:t>
      </w:r>
      <w:r w:rsidRPr="001D263A">
        <w:rPr>
          <w:sz w:val="24"/>
        </w:rPr>
        <w:t xml:space="preserve">the prolonged half-life of </w:t>
      </w:r>
      <w:proofErr w:type="spellStart"/>
      <w:r w:rsidR="008B68EB">
        <w:rPr>
          <w:sz w:val="24"/>
        </w:rPr>
        <w:t>R</w:t>
      </w:r>
      <w:r w:rsidRPr="001D263A">
        <w:rPr>
          <w:sz w:val="24"/>
        </w:rPr>
        <w:t>ivaroxaban</w:t>
      </w:r>
      <w:proofErr w:type="spellEnd"/>
      <w:r w:rsidRPr="001D263A">
        <w:rPr>
          <w:sz w:val="24"/>
        </w:rPr>
        <w:t xml:space="preserve"> in elderly patients (11–13 h), and an interval of 4–6 h between epidural catheter</w:t>
      </w:r>
      <w:r w:rsidR="00803433">
        <w:rPr>
          <w:sz w:val="24"/>
        </w:rPr>
        <w:t xml:space="preserve"> </w:t>
      </w:r>
      <w:r w:rsidRPr="001D263A">
        <w:rPr>
          <w:sz w:val="24"/>
        </w:rPr>
        <w:t xml:space="preserve">removal and the next dose of </w:t>
      </w:r>
      <w:r w:rsidR="008B68EB">
        <w:rPr>
          <w:sz w:val="24"/>
        </w:rPr>
        <w:t>R</w:t>
      </w:r>
      <w:r w:rsidRPr="001D263A">
        <w:rPr>
          <w:sz w:val="24"/>
        </w:rPr>
        <w:t>ivaroxaban</w:t>
      </w:r>
      <w:r>
        <w:rPr>
          <w:sz w:val="24"/>
          <w:vertAlign w:val="superscript"/>
        </w:rPr>
        <w:t>19</w:t>
      </w:r>
      <w:r>
        <w:rPr>
          <w:sz w:val="24"/>
        </w:rPr>
        <w:t>.</w:t>
      </w:r>
    </w:p>
    <w:p w:rsidR="00912D32" w:rsidRPr="00912D32" w:rsidRDefault="00912D32" w:rsidP="00912D32">
      <w:pPr>
        <w:spacing w:before="100" w:beforeAutospacing="1" w:after="100" w:afterAutospacing="1" w:line="240" w:lineRule="auto"/>
        <w:rPr>
          <w:rFonts w:eastAsia="Times New Roman" w:cstheme="minorHAnsi"/>
          <w:sz w:val="24"/>
          <w:szCs w:val="24"/>
        </w:rPr>
      </w:pPr>
      <w:r w:rsidRPr="00912D32">
        <w:rPr>
          <w:rFonts w:eastAsia="Times New Roman" w:cstheme="minorHAnsi"/>
          <w:sz w:val="24"/>
          <w:szCs w:val="24"/>
        </w:rPr>
        <w:t xml:space="preserve">The 2015 ASRA guidelines for interventional pain procedures recommend an interval equal to 5 half-lives (3 days) between drug discontinuation and </w:t>
      </w:r>
      <w:proofErr w:type="spellStart"/>
      <w:r w:rsidRPr="00912D32">
        <w:rPr>
          <w:rFonts w:eastAsia="Times New Roman" w:cstheme="minorHAnsi"/>
          <w:sz w:val="24"/>
          <w:szCs w:val="24"/>
        </w:rPr>
        <w:t>neuraxial</w:t>
      </w:r>
      <w:proofErr w:type="spellEnd"/>
      <w:r w:rsidRPr="00912D32">
        <w:rPr>
          <w:rFonts w:eastAsia="Times New Roman" w:cstheme="minorHAnsi"/>
          <w:sz w:val="24"/>
          <w:szCs w:val="24"/>
        </w:rPr>
        <w:t xml:space="preserve"> procedures, to allow for the </w:t>
      </w:r>
      <w:r w:rsidRPr="00912D32">
        <w:rPr>
          <w:rFonts w:eastAsia="Times New Roman" w:cstheme="minorHAnsi"/>
          <w:sz w:val="24"/>
          <w:szCs w:val="24"/>
        </w:rPr>
        <w:lastRenderedPageBreak/>
        <w:t xml:space="preserve">majority of the drug to be cleared. These guidelines recommend delaying resumption of </w:t>
      </w:r>
      <w:proofErr w:type="spellStart"/>
      <w:r w:rsidR="008B68EB">
        <w:rPr>
          <w:rFonts w:eastAsia="Times New Roman" w:cstheme="minorHAnsi"/>
          <w:sz w:val="24"/>
          <w:szCs w:val="24"/>
        </w:rPr>
        <w:t>R</w:t>
      </w:r>
      <w:r w:rsidRPr="00912D32">
        <w:rPr>
          <w:rFonts w:eastAsia="Times New Roman" w:cstheme="minorHAnsi"/>
          <w:sz w:val="24"/>
          <w:szCs w:val="24"/>
        </w:rPr>
        <w:t>ivaroxaban</w:t>
      </w:r>
      <w:proofErr w:type="spellEnd"/>
      <w:r w:rsidRPr="00912D32">
        <w:rPr>
          <w:rFonts w:eastAsia="Times New Roman" w:cstheme="minorHAnsi"/>
          <w:sz w:val="24"/>
          <w:szCs w:val="24"/>
        </w:rPr>
        <w:t xml:space="preserve"> 24 hours after the intervention to account for its short onset of effect (2.5-4 hours), unless the VTE risk is high.</w:t>
      </w:r>
    </w:p>
    <w:p w:rsidR="00912D32" w:rsidRPr="00912D32" w:rsidRDefault="00912D32" w:rsidP="00912D32">
      <w:pPr>
        <w:spacing w:before="100" w:beforeAutospacing="1" w:after="100" w:afterAutospacing="1" w:line="240" w:lineRule="auto"/>
        <w:rPr>
          <w:rFonts w:eastAsia="Times New Roman" w:cstheme="minorHAnsi"/>
          <w:sz w:val="24"/>
          <w:szCs w:val="24"/>
        </w:rPr>
      </w:pPr>
      <w:r w:rsidRPr="00912D32">
        <w:rPr>
          <w:rFonts w:eastAsia="Times New Roman" w:cstheme="minorHAnsi"/>
          <w:sz w:val="24"/>
          <w:szCs w:val="24"/>
        </w:rPr>
        <w:t>Recommendations</w:t>
      </w:r>
    </w:p>
    <w:p w:rsidR="00912D32" w:rsidRPr="00912D32" w:rsidRDefault="00912D32" w:rsidP="00912D32">
      <w:pPr>
        <w:numPr>
          <w:ilvl w:val="0"/>
          <w:numId w:val="5"/>
        </w:numPr>
        <w:spacing w:before="120" w:after="100" w:afterAutospacing="1" w:line="240" w:lineRule="auto"/>
        <w:ind w:left="240"/>
        <w:rPr>
          <w:rFonts w:eastAsia="Times New Roman" w:cstheme="minorHAnsi"/>
          <w:sz w:val="24"/>
          <w:szCs w:val="24"/>
        </w:rPr>
      </w:pPr>
      <w:r w:rsidRPr="00912D32">
        <w:rPr>
          <w:rFonts w:eastAsia="Times New Roman" w:cstheme="minorHAnsi"/>
          <w:sz w:val="24"/>
          <w:szCs w:val="24"/>
        </w:rPr>
        <w:t xml:space="preserve">Time interval for which </w:t>
      </w:r>
      <w:proofErr w:type="spellStart"/>
      <w:r w:rsidR="008B68EB">
        <w:rPr>
          <w:rFonts w:eastAsia="Times New Roman" w:cstheme="minorHAnsi"/>
          <w:sz w:val="24"/>
          <w:szCs w:val="24"/>
        </w:rPr>
        <w:t>R</w:t>
      </w:r>
      <w:r w:rsidRPr="00912D32">
        <w:rPr>
          <w:rFonts w:eastAsia="Times New Roman" w:cstheme="minorHAnsi"/>
          <w:sz w:val="24"/>
          <w:szCs w:val="24"/>
        </w:rPr>
        <w:t>ivaroxaban</w:t>
      </w:r>
      <w:proofErr w:type="spellEnd"/>
      <w:r w:rsidRPr="00912D32">
        <w:rPr>
          <w:rFonts w:eastAsia="Times New Roman" w:cstheme="minorHAnsi"/>
          <w:sz w:val="24"/>
          <w:szCs w:val="24"/>
        </w:rPr>
        <w:t xml:space="preserve"> needs to be discontinued before </w:t>
      </w:r>
      <w:proofErr w:type="spellStart"/>
      <w:r w:rsidRPr="00912D32">
        <w:rPr>
          <w:rFonts w:eastAsia="Times New Roman" w:cstheme="minorHAnsi"/>
          <w:sz w:val="24"/>
          <w:szCs w:val="24"/>
        </w:rPr>
        <w:t>neuraxial</w:t>
      </w:r>
      <w:proofErr w:type="spellEnd"/>
      <w:r w:rsidRPr="00912D32">
        <w:rPr>
          <w:rFonts w:eastAsia="Times New Roman" w:cstheme="minorHAnsi"/>
          <w:sz w:val="24"/>
          <w:szCs w:val="24"/>
        </w:rPr>
        <w:t xml:space="preserve"> puncture/catheter manipulation or removal: 3 days.</w:t>
      </w:r>
    </w:p>
    <w:p w:rsidR="00912D32" w:rsidRPr="00912D32" w:rsidRDefault="00912D32" w:rsidP="00912D32">
      <w:pPr>
        <w:numPr>
          <w:ilvl w:val="0"/>
          <w:numId w:val="5"/>
        </w:numPr>
        <w:spacing w:before="120" w:after="100" w:afterAutospacing="1" w:line="240" w:lineRule="auto"/>
        <w:ind w:left="240"/>
        <w:rPr>
          <w:rFonts w:eastAsia="Times New Roman" w:cstheme="minorHAnsi"/>
          <w:sz w:val="24"/>
          <w:szCs w:val="24"/>
        </w:rPr>
      </w:pPr>
      <w:r w:rsidRPr="00912D32">
        <w:rPr>
          <w:rFonts w:eastAsia="Times New Roman" w:cstheme="minorHAnsi"/>
          <w:sz w:val="24"/>
          <w:szCs w:val="24"/>
        </w:rPr>
        <w:t xml:space="preserve">Time interval when </w:t>
      </w:r>
      <w:proofErr w:type="spellStart"/>
      <w:r w:rsidR="008B68EB">
        <w:rPr>
          <w:rFonts w:eastAsia="Times New Roman" w:cstheme="minorHAnsi"/>
          <w:sz w:val="24"/>
          <w:szCs w:val="24"/>
        </w:rPr>
        <w:t>R</w:t>
      </w:r>
      <w:r w:rsidRPr="00912D32">
        <w:rPr>
          <w:rFonts w:eastAsia="Times New Roman" w:cstheme="minorHAnsi"/>
          <w:sz w:val="24"/>
          <w:szCs w:val="24"/>
        </w:rPr>
        <w:t>ivaroxaban</w:t>
      </w:r>
      <w:proofErr w:type="spellEnd"/>
      <w:r w:rsidRPr="00912D32">
        <w:rPr>
          <w:rFonts w:eastAsia="Times New Roman" w:cstheme="minorHAnsi"/>
          <w:sz w:val="24"/>
          <w:szCs w:val="24"/>
        </w:rPr>
        <w:t xml:space="preserve"> can be restarted after </w:t>
      </w:r>
      <w:proofErr w:type="spellStart"/>
      <w:r w:rsidRPr="00912D32">
        <w:rPr>
          <w:rFonts w:eastAsia="Times New Roman" w:cstheme="minorHAnsi"/>
          <w:sz w:val="24"/>
          <w:szCs w:val="24"/>
        </w:rPr>
        <w:t>neuraxial</w:t>
      </w:r>
      <w:proofErr w:type="spellEnd"/>
      <w:r w:rsidRPr="00912D32">
        <w:rPr>
          <w:rFonts w:eastAsia="Times New Roman" w:cstheme="minorHAnsi"/>
          <w:sz w:val="24"/>
          <w:szCs w:val="24"/>
        </w:rPr>
        <w:t xml:space="preserve"> puncture/catheter manipulation or removal: 24 hours. If the risk for VTE is considered to be high, then half the usual drug dose can be administered 12 hours after the procedure.</w:t>
      </w:r>
    </w:p>
    <w:p w:rsidR="00687CC3" w:rsidRDefault="00924F37" w:rsidP="00B94D32">
      <w:pPr>
        <w:rPr>
          <w:rFonts w:cstheme="minorHAnsi"/>
          <w:b/>
          <w:sz w:val="28"/>
          <w:szCs w:val="20"/>
        </w:rPr>
      </w:pPr>
      <w:proofErr w:type="spellStart"/>
      <w:r w:rsidRPr="00924F37">
        <w:rPr>
          <w:rFonts w:cstheme="minorHAnsi"/>
          <w:b/>
          <w:sz w:val="28"/>
          <w:szCs w:val="20"/>
        </w:rPr>
        <w:t>Apixaban</w:t>
      </w:r>
      <w:proofErr w:type="spellEnd"/>
    </w:p>
    <w:p w:rsidR="00BE7266" w:rsidRDefault="00924F37" w:rsidP="00924F37">
      <w:pPr>
        <w:spacing w:before="100" w:beforeAutospacing="1" w:after="100" w:afterAutospacing="1" w:line="240" w:lineRule="auto"/>
        <w:rPr>
          <w:rFonts w:eastAsia="Times New Roman" w:cstheme="minorHAnsi"/>
          <w:sz w:val="24"/>
          <w:szCs w:val="24"/>
        </w:rPr>
      </w:pPr>
      <w:proofErr w:type="spellStart"/>
      <w:r w:rsidRPr="00BE7266">
        <w:rPr>
          <w:rFonts w:eastAsia="Times New Roman" w:cstheme="minorHAnsi"/>
          <w:sz w:val="24"/>
          <w:szCs w:val="24"/>
        </w:rPr>
        <w:t>Apixaban</w:t>
      </w:r>
      <w:proofErr w:type="spellEnd"/>
      <w:r w:rsidRPr="00BE7266">
        <w:rPr>
          <w:rFonts w:eastAsia="Times New Roman" w:cstheme="minorHAnsi"/>
          <w:sz w:val="24"/>
          <w:szCs w:val="24"/>
        </w:rPr>
        <w:t xml:space="preserve"> is an orally administered, reversible, direct factor </w:t>
      </w:r>
      <w:proofErr w:type="spellStart"/>
      <w:r w:rsidRPr="00BE7266">
        <w:rPr>
          <w:rFonts w:eastAsia="Times New Roman" w:cstheme="minorHAnsi"/>
          <w:sz w:val="24"/>
          <w:szCs w:val="24"/>
        </w:rPr>
        <w:t>Xa</w:t>
      </w:r>
      <w:proofErr w:type="spellEnd"/>
      <w:r w:rsidRPr="00BE7266">
        <w:rPr>
          <w:rFonts w:eastAsia="Times New Roman" w:cstheme="minorHAnsi"/>
          <w:sz w:val="24"/>
          <w:szCs w:val="24"/>
        </w:rPr>
        <w:t xml:space="preserve"> inhibitor, similar to </w:t>
      </w:r>
      <w:proofErr w:type="spellStart"/>
      <w:r w:rsidR="008B68EB">
        <w:rPr>
          <w:rFonts w:eastAsia="Times New Roman" w:cstheme="minorHAnsi"/>
          <w:sz w:val="24"/>
          <w:szCs w:val="24"/>
        </w:rPr>
        <w:t>R</w:t>
      </w:r>
      <w:r w:rsidRPr="00BE7266">
        <w:rPr>
          <w:rFonts w:eastAsia="Times New Roman" w:cstheme="minorHAnsi"/>
          <w:sz w:val="24"/>
          <w:szCs w:val="24"/>
        </w:rPr>
        <w:t>ivaroxaban</w:t>
      </w:r>
      <w:proofErr w:type="spellEnd"/>
      <w:r w:rsidRPr="00BE7266">
        <w:rPr>
          <w:rFonts w:eastAsia="Times New Roman" w:cstheme="minorHAnsi"/>
          <w:sz w:val="24"/>
          <w:szCs w:val="24"/>
        </w:rPr>
        <w:t xml:space="preserve">. Its bioavailability, when administered orally, ranges from 51% to 85%, and peak concentrations are achieved within 1 to 2 hours. When </w:t>
      </w:r>
      <w:proofErr w:type="spellStart"/>
      <w:r w:rsidR="008B68EB">
        <w:rPr>
          <w:rFonts w:eastAsia="Times New Roman" w:cstheme="minorHAnsi"/>
          <w:sz w:val="24"/>
          <w:szCs w:val="24"/>
        </w:rPr>
        <w:t>A</w:t>
      </w:r>
      <w:r w:rsidRPr="00BE7266">
        <w:rPr>
          <w:rFonts w:eastAsia="Times New Roman" w:cstheme="minorHAnsi"/>
          <w:sz w:val="24"/>
          <w:szCs w:val="24"/>
        </w:rPr>
        <w:t>pixaban</w:t>
      </w:r>
      <w:proofErr w:type="spellEnd"/>
      <w:r w:rsidRPr="00BE7266">
        <w:rPr>
          <w:rFonts w:eastAsia="Times New Roman" w:cstheme="minorHAnsi"/>
          <w:sz w:val="24"/>
          <w:szCs w:val="24"/>
        </w:rPr>
        <w:t xml:space="preserve"> is administered twice daily, steady state is reached in about 3 days. Its half-life is between 10 and 15 hours, and elimination occurs through multiple pathways, with 25% of the drug excreted by the kidneys and 75% by liver and</w:t>
      </w:r>
      <w:r w:rsidR="00803433">
        <w:rPr>
          <w:rFonts w:eastAsia="Times New Roman" w:cstheme="minorHAnsi"/>
          <w:sz w:val="24"/>
          <w:szCs w:val="24"/>
        </w:rPr>
        <w:t xml:space="preserve"> </w:t>
      </w:r>
      <w:proofErr w:type="spellStart"/>
      <w:r w:rsidRPr="00BE7266">
        <w:rPr>
          <w:rFonts w:eastAsia="Times New Roman" w:cstheme="minorHAnsi"/>
          <w:sz w:val="24"/>
          <w:szCs w:val="24"/>
        </w:rPr>
        <w:t>biliary</w:t>
      </w:r>
      <w:proofErr w:type="spellEnd"/>
      <w:r w:rsidRPr="00BE7266">
        <w:rPr>
          <w:rFonts w:eastAsia="Times New Roman" w:cstheme="minorHAnsi"/>
          <w:sz w:val="24"/>
          <w:szCs w:val="24"/>
        </w:rPr>
        <w:t xml:space="preserve"> metabolism, as well as intestinal excretion.</w:t>
      </w:r>
      <w:r w:rsidR="00803433">
        <w:rPr>
          <w:rFonts w:eastAsia="Times New Roman" w:cstheme="minorHAnsi"/>
          <w:sz w:val="24"/>
          <w:szCs w:val="24"/>
        </w:rPr>
        <w:t xml:space="preserve"> </w:t>
      </w:r>
      <w:proofErr w:type="spellStart"/>
      <w:r w:rsidR="00BE7266" w:rsidRPr="00BE7266">
        <w:rPr>
          <w:rFonts w:eastAsia="Times New Roman" w:cstheme="minorHAnsi"/>
          <w:sz w:val="24"/>
          <w:szCs w:val="24"/>
        </w:rPr>
        <w:t>Apixaban</w:t>
      </w:r>
      <w:proofErr w:type="spellEnd"/>
      <w:r w:rsidR="00BE7266" w:rsidRPr="00BE7266">
        <w:rPr>
          <w:rFonts w:eastAsia="Times New Roman" w:cstheme="minorHAnsi"/>
          <w:sz w:val="24"/>
          <w:szCs w:val="24"/>
        </w:rPr>
        <w:t xml:space="preserve"> is also a substrate for both P-</w:t>
      </w:r>
      <w:proofErr w:type="spellStart"/>
      <w:r w:rsidR="00BE7266" w:rsidRPr="00BE7266">
        <w:rPr>
          <w:rFonts w:eastAsia="Times New Roman" w:cstheme="minorHAnsi"/>
          <w:sz w:val="24"/>
          <w:szCs w:val="24"/>
        </w:rPr>
        <w:t>gp</w:t>
      </w:r>
      <w:proofErr w:type="spellEnd"/>
      <w:r w:rsidR="00BE7266" w:rsidRPr="00BE7266">
        <w:rPr>
          <w:rFonts w:eastAsia="Times New Roman" w:cstheme="minorHAnsi"/>
          <w:sz w:val="24"/>
          <w:szCs w:val="24"/>
        </w:rPr>
        <w:t xml:space="preserve"> and CYP3A4.</w:t>
      </w:r>
    </w:p>
    <w:p w:rsidR="00924F37" w:rsidRDefault="00BE7266" w:rsidP="00924F37">
      <w:pPr>
        <w:spacing w:before="100" w:beforeAutospacing="1" w:after="100" w:afterAutospacing="1" w:line="240" w:lineRule="auto"/>
        <w:rPr>
          <w:rFonts w:eastAsia="Times New Roman" w:cstheme="minorHAnsi"/>
          <w:sz w:val="24"/>
          <w:szCs w:val="24"/>
        </w:rPr>
      </w:pPr>
      <w:proofErr w:type="spellStart"/>
      <w:r w:rsidRPr="00BE7266">
        <w:rPr>
          <w:rFonts w:eastAsia="Times New Roman" w:cstheme="minorHAnsi"/>
          <w:sz w:val="24"/>
          <w:szCs w:val="24"/>
        </w:rPr>
        <w:t>Apixaban</w:t>
      </w:r>
      <w:proofErr w:type="spellEnd"/>
      <w:r w:rsidRPr="00BE7266">
        <w:rPr>
          <w:rFonts w:eastAsia="Times New Roman" w:cstheme="minorHAnsi"/>
          <w:sz w:val="24"/>
          <w:szCs w:val="24"/>
        </w:rPr>
        <w:t xml:space="preserve"> has been shown to be as effective as LMWH for the treatment of acute VTE, with significantly less bleeding risk.</w:t>
      </w:r>
    </w:p>
    <w:p w:rsidR="00BE7266" w:rsidRPr="00BE7266" w:rsidRDefault="00BE7266" w:rsidP="00BE7266">
      <w:pPr>
        <w:spacing w:before="100" w:beforeAutospacing="1" w:after="100" w:afterAutospacing="1" w:line="240" w:lineRule="auto"/>
        <w:rPr>
          <w:rFonts w:eastAsia="Times New Roman" w:cstheme="minorHAnsi"/>
          <w:sz w:val="24"/>
          <w:szCs w:val="24"/>
        </w:rPr>
      </w:pPr>
      <w:r w:rsidRPr="00BE7266">
        <w:rPr>
          <w:rFonts w:eastAsia="Times New Roman" w:cstheme="minorHAnsi"/>
          <w:sz w:val="24"/>
          <w:szCs w:val="24"/>
        </w:rPr>
        <w:t xml:space="preserve">The </w:t>
      </w:r>
      <w:proofErr w:type="spellStart"/>
      <w:r w:rsidRPr="00BE7266">
        <w:rPr>
          <w:rFonts w:eastAsia="Times New Roman" w:cstheme="minorHAnsi"/>
          <w:sz w:val="24"/>
          <w:szCs w:val="24"/>
        </w:rPr>
        <w:t>aPTT</w:t>
      </w:r>
      <w:proofErr w:type="spellEnd"/>
      <w:r w:rsidRPr="00BE7266">
        <w:rPr>
          <w:rFonts w:eastAsia="Times New Roman" w:cstheme="minorHAnsi"/>
          <w:sz w:val="24"/>
          <w:szCs w:val="24"/>
        </w:rPr>
        <w:t xml:space="preserve"> is not an appropriate test for monitoring factor </w:t>
      </w:r>
      <w:proofErr w:type="spellStart"/>
      <w:r w:rsidRPr="00BE7266">
        <w:rPr>
          <w:rFonts w:eastAsia="Times New Roman" w:cstheme="minorHAnsi"/>
          <w:sz w:val="24"/>
          <w:szCs w:val="24"/>
        </w:rPr>
        <w:t>Xa</w:t>
      </w:r>
      <w:proofErr w:type="spellEnd"/>
      <w:r w:rsidR="00C762F9">
        <w:rPr>
          <w:rFonts w:eastAsia="Times New Roman" w:cstheme="minorHAnsi"/>
          <w:sz w:val="24"/>
          <w:szCs w:val="24"/>
        </w:rPr>
        <w:t xml:space="preserve"> </w:t>
      </w:r>
      <w:r w:rsidRPr="00BE7266">
        <w:rPr>
          <w:rFonts w:eastAsia="Times New Roman" w:cstheme="minorHAnsi"/>
          <w:sz w:val="24"/>
          <w:szCs w:val="24"/>
        </w:rPr>
        <w:t xml:space="preserve">inhibitors, and </w:t>
      </w:r>
      <w:proofErr w:type="spellStart"/>
      <w:r w:rsidR="008B68EB">
        <w:rPr>
          <w:rFonts w:eastAsia="Times New Roman" w:cstheme="minorHAnsi"/>
          <w:sz w:val="24"/>
          <w:szCs w:val="24"/>
        </w:rPr>
        <w:t>A</w:t>
      </w:r>
      <w:r w:rsidRPr="00BE7266">
        <w:rPr>
          <w:rFonts w:eastAsia="Times New Roman" w:cstheme="minorHAnsi"/>
          <w:sz w:val="24"/>
          <w:szCs w:val="24"/>
        </w:rPr>
        <w:t>pixaban</w:t>
      </w:r>
      <w:proofErr w:type="spellEnd"/>
      <w:r w:rsidRPr="00BE7266">
        <w:rPr>
          <w:rFonts w:eastAsia="Times New Roman" w:cstheme="minorHAnsi"/>
          <w:sz w:val="24"/>
          <w:szCs w:val="24"/>
        </w:rPr>
        <w:t xml:space="preserve"> has little effect on the </w:t>
      </w:r>
      <w:proofErr w:type="spellStart"/>
      <w:r w:rsidRPr="00BE7266">
        <w:rPr>
          <w:rFonts w:eastAsia="Times New Roman" w:cstheme="minorHAnsi"/>
          <w:sz w:val="24"/>
          <w:szCs w:val="24"/>
        </w:rPr>
        <w:t>PT.The</w:t>
      </w:r>
      <w:proofErr w:type="spellEnd"/>
      <w:r w:rsidRPr="00BE7266">
        <w:rPr>
          <w:rFonts w:eastAsia="Times New Roman" w:cstheme="minorHAnsi"/>
          <w:sz w:val="24"/>
          <w:szCs w:val="24"/>
        </w:rPr>
        <w:t xml:space="preserve"> dilute</w:t>
      </w:r>
      <w:r w:rsidR="00C762F9">
        <w:rPr>
          <w:rFonts w:eastAsia="Times New Roman" w:cstheme="minorHAnsi"/>
          <w:sz w:val="24"/>
          <w:szCs w:val="24"/>
        </w:rPr>
        <w:t xml:space="preserve"> </w:t>
      </w:r>
      <w:r w:rsidRPr="00BE7266">
        <w:rPr>
          <w:rFonts w:eastAsia="Times New Roman" w:cstheme="minorHAnsi"/>
          <w:sz w:val="24"/>
          <w:szCs w:val="24"/>
        </w:rPr>
        <w:t>PT assay, where</w:t>
      </w:r>
      <w:r w:rsidR="00C762F9">
        <w:rPr>
          <w:rFonts w:eastAsia="Times New Roman" w:cstheme="minorHAnsi"/>
          <w:sz w:val="24"/>
          <w:szCs w:val="24"/>
        </w:rPr>
        <w:t xml:space="preserve"> </w:t>
      </w:r>
      <w:r w:rsidRPr="00BE7266">
        <w:rPr>
          <w:rFonts w:eastAsia="Times New Roman" w:cstheme="minorHAnsi"/>
          <w:sz w:val="24"/>
          <w:szCs w:val="24"/>
        </w:rPr>
        <w:t xml:space="preserve">in the </w:t>
      </w:r>
      <w:proofErr w:type="spellStart"/>
      <w:r w:rsidRPr="00BE7266">
        <w:rPr>
          <w:rFonts w:eastAsia="Times New Roman" w:cstheme="minorHAnsi"/>
          <w:sz w:val="24"/>
          <w:szCs w:val="24"/>
        </w:rPr>
        <w:t>thromboplastin</w:t>
      </w:r>
      <w:proofErr w:type="spellEnd"/>
      <w:r w:rsidRPr="00BE7266">
        <w:rPr>
          <w:rFonts w:eastAsia="Times New Roman" w:cstheme="minorHAnsi"/>
          <w:sz w:val="24"/>
          <w:szCs w:val="24"/>
        </w:rPr>
        <w:t xml:space="preserve"> reagent is diluted 16 times,has improved sensitivity over the conventional PT. </w:t>
      </w:r>
      <w:proofErr w:type="spellStart"/>
      <w:r w:rsidRPr="00BE7266">
        <w:rPr>
          <w:rFonts w:eastAsia="Times New Roman" w:cstheme="minorHAnsi"/>
          <w:sz w:val="24"/>
          <w:szCs w:val="24"/>
        </w:rPr>
        <w:t>Apixaban</w:t>
      </w:r>
      <w:proofErr w:type="spellEnd"/>
      <w:r w:rsidR="00C762F9">
        <w:rPr>
          <w:rFonts w:eastAsia="Times New Roman" w:cstheme="minorHAnsi"/>
          <w:sz w:val="24"/>
          <w:szCs w:val="24"/>
        </w:rPr>
        <w:t xml:space="preserve"> </w:t>
      </w:r>
      <w:r w:rsidRPr="00BE7266">
        <w:rPr>
          <w:rFonts w:eastAsia="Times New Roman" w:cstheme="minorHAnsi"/>
          <w:sz w:val="24"/>
          <w:szCs w:val="24"/>
        </w:rPr>
        <w:t>can be evaluated with the anti-</w:t>
      </w:r>
      <w:proofErr w:type="spellStart"/>
      <w:r w:rsidRPr="00BE7266">
        <w:rPr>
          <w:rFonts w:eastAsia="Times New Roman" w:cstheme="minorHAnsi"/>
          <w:sz w:val="24"/>
          <w:szCs w:val="24"/>
        </w:rPr>
        <w:t>Xa</w:t>
      </w:r>
      <w:proofErr w:type="spellEnd"/>
      <w:r w:rsidRPr="00BE7266">
        <w:rPr>
          <w:rFonts w:eastAsia="Times New Roman" w:cstheme="minorHAnsi"/>
          <w:sz w:val="24"/>
          <w:szCs w:val="24"/>
        </w:rPr>
        <w:t xml:space="preserve"> assay. The anti-</w:t>
      </w:r>
      <w:proofErr w:type="spellStart"/>
      <w:r w:rsidRPr="00BE7266">
        <w:rPr>
          <w:rFonts w:eastAsia="Times New Roman" w:cstheme="minorHAnsi"/>
          <w:sz w:val="24"/>
          <w:szCs w:val="24"/>
        </w:rPr>
        <w:t>Xa</w:t>
      </w:r>
      <w:proofErr w:type="spellEnd"/>
      <w:r w:rsidRPr="00BE7266">
        <w:rPr>
          <w:rFonts w:eastAsia="Times New Roman" w:cstheme="minorHAnsi"/>
          <w:sz w:val="24"/>
          <w:szCs w:val="24"/>
        </w:rPr>
        <w:t xml:space="preserve"> assay is more</w:t>
      </w:r>
      <w:r w:rsidR="00C762F9">
        <w:rPr>
          <w:rFonts w:eastAsia="Times New Roman" w:cstheme="minorHAnsi"/>
          <w:sz w:val="24"/>
          <w:szCs w:val="24"/>
        </w:rPr>
        <w:t xml:space="preserve"> </w:t>
      </w:r>
      <w:r w:rsidRPr="00BE7266">
        <w:rPr>
          <w:rFonts w:eastAsia="Times New Roman" w:cstheme="minorHAnsi"/>
          <w:sz w:val="24"/>
          <w:szCs w:val="24"/>
        </w:rPr>
        <w:t>sensitive than the PT</w:t>
      </w:r>
      <w:r w:rsidR="00C762F9">
        <w:rPr>
          <w:rFonts w:eastAsia="Times New Roman" w:cstheme="minorHAnsi"/>
          <w:sz w:val="24"/>
          <w:szCs w:val="24"/>
        </w:rPr>
        <w:t xml:space="preserve"> </w:t>
      </w:r>
      <w:r w:rsidRPr="00BE7266">
        <w:rPr>
          <w:rFonts w:eastAsia="Times New Roman" w:cstheme="minorHAnsi"/>
          <w:sz w:val="24"/>
          <w:szCs w:val="24"/>
        </w:rPr>
        <w:t xml:space="preserve">and as sensitive as the dilute </w:t>
      </w:r>
      <w:proofErr w:type="spellStart"/>
      <w:r w:rsidRPr="00BE7266">
        <w:rPr>
          <w:rFonts w:eastAsia="Times New Roman" w:cstheme="minorHAnsi"/>
          <w:sz w:val="24"/>
          <w:szCs w:val="24"/>
        </w:rPr>
        <w:t>PTassay</w:t>
      </w:r>
      <w:proofErr w:type="spellEnd"/>
      <w:r w:rsidRPr="00BE7266">
        <w:rPr>
          <w:rFonts w:eastAsia="Times New Roman" w:cstheme="minorHAnsi"/>
          <w:sz w:val="24"/>
          <w:szCs w:val="24"/>
        </w:rPr>
        <w:t>, and</w:t>
      </w:r>
      <w:r w:rsidR="00C762F9">
        <w:rPr>
          <w:rFonts w:eastAsia="Times New Roman" w:cstheme="minorHAnsi"/>
          <w:sz w:val="24"/>
          <w:szCs w:val="24"/>
        </w:rPr>
        <w:t xml:space="preserve"> </w:t>
      </w:r>
      <w:r w:rsidRPr="00BE7266">
        <w:rPr>
          <w:rFonts w:eastAsia="Times New Roman" w:cstheme="minorHAnsi"/>
          <w:sz w:val="24"/>
          <w:szCs w:val="24"/>
        </w:rPr>
        <w:t>seems to be the best choice for clinical monitoring of the anticoagulant</w:t>
      </w:r>
      <w:r w:rsidR="00C762F9">
        <w:rPr>
          <w:rFonts w:eastAsia="Times New Roman" w:cstheme="minorHAnsi"/>
          <w:sz w:val="24"/>
          <w:szCs w:val="24"/>
        </w:rPr>
        <w:t xml:space="preserve"> </w:t>
      </w:r>
      <w:r w:rsidRPr="00BE7266">
        <w:rPr>
          <w:rFonts w:eastAsia="Times New Roman" w:cstheme="minorHAnsi"/>
          <w:sz w:val="24"/>
          <w:szCs w:val="24"/>
        </w:rPr>
        <w:t xml:space="preserve">effect of </w:t>
      </w:r>
      <w:proofErr w:type="spellStart"/>
      <w:r w:rsidR="008B68EB">
        <w:rPr>
          <w:rFonts w:eastAsia="Times New Roman" w:cstheme="minorHAnsi"/>
          <w:sz w:val="24"/>
          <w:szCs w:val="24"/>
        </w:rPr>
        <w:t>A</w:t>
      </w:r>
      <w:r w:rsidRPr="00BE7266">
        <w:rPr>
          <w:rFonts w:eastAsia="Times New Roman" w:cstheme="minorHAnsi"/>
          <w:sz w:val="24"/>
          <w:szCs w:val="24"/>
        </w:rPr>
        <w:t>pixaban</w:t>
      </w:r>
      <w:proofErr w:type="spellEnd"/>
      <w:r w:rsidRPr="00BE7266">
        <w:rPr>
          <w:rFonts w:eastAsia="Times New Roman" w:cstheme="minorHAnsi"/>
          <w:sz w:val="24"/>
          <w:szCs w:val="24"/>
        </w:rPr>
        <w:t xml:space="preserve">. Activated charcoal, given within3 hours of ingestion, reduces the absorption of </w:t>
      </w:r>
      <w:proofErr w:type="spellStart"/>
      <w:r w:rsidR="008B68EB">
        <w:rPr>
          <w:rFonts w:eastAsia="Times New Roman" w:cstheme="minorHAnsi"/>
          <w:sz w:val="24"/>
          <w:szCs w:val="24"/>
        </w:rPr>
        <w:t>A</w:t>
      </w:r>
      <w:r w:rsidRPr="00BE7266">
        <w:rPr>
          <w:rFonts w:eastAsia="Times New Roman" w:cstheme="minorHAnsi"/>
          <w:sz w:val="24"/>
          <w:szCs w:val="24"/>
        </w:rPr>
        <w:t>pixaban</w:t>
      </w:r>
      <w:proofErr w:type="spellEnd"/>
      <w:r w:rsidRPr="00BE7266">
        <w:rPr>
          <w:rFonts w:eastAsia="Times New Roman" w:cstheme="minorHAnsi"/>
          <w:sz w:val="24"/>
          <w:szCs w:val="24"/>
        </w:rPr>
        <w:t>.</w:t>
      </w:r>
      <w:r w:rsidR="00C762F9">
        <w:rPr>
          <w:rFonts w:eastAsia="Times New Roman" w:cstheme="minorHAnsi"/>
          <w:sz w:val="24"/>
          <w:szCs w:val="24"/>
        </w:rPr>
        <w:t xml:space="preserve"> </w:t>
      </w:r>
      <w:r w:rsidRPr="00BE7266">
        <w:rPr>
          <w:rFonts w:eastAsia="Times New Roman" w:cstheme="minorHAnsi"/>
          <w:sz w:val="24"/>
          <w:szCs w:val="24"/>
        </w:rPr>
        <w:t>Whether</w:t>
      </w:r>
      <w:r w:rsidR="00C762F9">
        <w:rPr>
          <w:rFonts w:eastAsia="Times New Roman" w:cstheme="minorHAnsi"/>
          <w:sz w:val="24"/>
          <w:szCs w:val="24"/>
        </w:rPr>
        <w:t xml:space="preserve"> </w:t>
      </w:r>
      <w:r w:rsidRPr="00BE7266">
        <w:rPr>
          <w:rFonts w:eastAsia="Times New Roman" w:cstheme="minorHAnsi"/>
          <w:sz w:val="24"/>
          <w:szCs w:val="24"/>
        </w:rPr>
        <w:t xml:space="preserve">PCCs would be effective in controlling bleeding due to </w:t>
      </w:r>
      <w:proofErr w:type="spellStart"/>
      <w:r w:rsidR="008B68EB">
        <w:rPr>
          <w:rFonts w:eastAsia="Times New Roman" w:cstheme="minorHAnsi"/>
          <w:sz w:val="24"/>
          <w:szCs w:val="24"/>
        </w:rPr>
        <w:t>A</w:t>
      </w:r>
      <w:r w:rsidRPr="00BE7266">
        <w:rPr>
          <w:rFonts w:eastAsia="Times New Roman" w:cstheme="minorHAnsi"/>
          <w:sz w:val="24"/>
          <w:szCs w:val="24"/>
        </w:rPr>
        <w:t>pixaban</w:t>
      </w:r>
      <w:proofErr w:type="spellEnd"/>
      <w:r w:rsidR="00C762F9">
        <w:rPr>
          <w:rFonts w:eastAsia="Times New Roman" w:cstheme="minorHAnsi"/>
          <w:sz w:val="24"/>
          <w:szCs w:val="24"/>
        </w:rPr>
        <w:t xml:space="preserve"> </w:t>
      </w:r>
      <w:r w:rsidRPr="00BE7266">
        <w:rPr>
          <w:rFonts w:eastAsia="Times New Roman" w:cstheme="minorHAnsi"/>
          <w:sz w:val="24"/>
          <w:szCs w:val="24"/>
        </w:rPr>
        <w:t>has not been adequately assessed.</w:t>
      </w:r>
    </w:p>
    <w:p w:rsidR="00BE7266" w:rsidRPr="00BE7266" w:rsidRDefault="00BE7266" w:rsidP="00BE7266">
      <w:pPr>
        <w:spacing w:before="100" w:beforeAutospacing="1" w:after="100" w:afterAutospacing="1" w:line="240" w:lineRule="auto"/>
        <w:rPr>
          <w:rFonts w:eastAsia="Times New Roman" w:cstheme="minorHAnsi"/>
          <w:sz w:val="24"/>
          <w:szCs w:val="24"/>
        </w:rPr>
      </w:pPr>
      <w:r w:rsidRPr="00BE7266">
        <w:rPr>
          <w:rFonts w:eastAsia="Times New Roman" w:cstheme="minorHAnsi"/>
          <w:sz w:val="24"/>
          <w:szCs w:val="24"/>
        </w:rPr>
        <w:t>Recommendations</w:t>
      </w:r>
    </w:p>
    <w:p w:rsidR="00BE7266" w:rsidRPr="00BE7266" w:rsidRDefault="00BE7266" w:rsidP="00BE7266">
      <w:pPr>
        <w:numPr>
          <w:ilvl w:val="0"/>
          <w:numId w:val="6"/>
        </w:numPr>
        <w:spacing w:before="120" w:after="100" w:afterAutospacing="1" w:line="240" w:lineRule="auto"/>
        <w:ind w:left="240"/>
        <w:rPr>
          <w:rFonts w:eastAsia="Times New Roman" w:cstheme="minorHAnsi"/>
          <w:sz w:val="24"/>
          <w:szCs w:val="24"/>
        </w:rPr>
      </w:pPr>
      <w:r w:rsidRPr="00BE7266">
        <w:rPr>
          <w:rFonts w:eastAsia="Times New Roman" w:cstheme="minorHAnsi"/>
          <w:sz w:val="24"/>
          <w:szCs w:val="24"/>
        </w:rPr>
        <w:t xml:space="preserve">Time interval for which </w:t>
      </w:r>
      <w:proofErr w:type="spellStart"/>
      <w:r w:rsidR="008B68EB">
        <w:rPr>
          <w:rFonts w:eastAsia="Times New Roman" w:cstheme="minorHAnsi"/>
          <w:sz w:val="24"/>
          <w:szCs w:val="24"/>
        </w:rPr>
        <w:t>A</w:t>
      </w:r>
      <w:r w:rsidRPr="00BE7266">
        <w:rPr>
          <w:rFonts w:eastAsia="Times New Roman" w:cstheme="minorHAnsi"/>
          <w:sz w:val="24"/>
          <w:szCs w:val="24"/>
        </w:rPr>
        <w:t>pixaban</w:t>
      </w:r>
      <w:proofErr w:type="spellEnd"/>
      <w:r w:rsidRPr="00BE7266">
        <w:rPr>
          <w:rFonts w:eastAsia="Times New Roman" w:cstheme="minorHAnsi"/>
          <w:sz w:val="24"/>
          <w:szCs w:val="24"/>
        </w:rPr>
        <w:t xml:space="preserve"> needs to be discontinued before </w:t>
      </w:r>
      <w:proofErr w:type="spellStart"/>
      <w:r w:rsidRPr="00BE7266">
        <w:rPr>
          <w:rFonts w:eastAsia="Times New Roman" w:cstheme="minorHAnsi"/>
          <w:sz w:val="24"/>
          <w:szCs w:val="24"/>
        </w:rPr>
        <w:t>neuraxial</w:t>
      </w:r>
      <w:proofErr w:type="spellEnd"/>
      <w:r w:rsidRPr="00BE7266">
        <w:rPr>
          <w:rFonts w:eastAsia="Times New Roman" w:cstheme="minorHAnsi"/>
          <w:sz w:val="24"/>
          <w:szCs w:val="24"/>
        </w:rPr>
        <w:t xml:space="preserve"> puncture/catheter manipulation or removal: 3 to 5 days.</w:t>
      </w:r>
    </w:p>
    <w:p w:rsidR="00BE7266" w:rsidRDefault="00BE7266" w:rsidP="00BE7266">
      <w:pPr>
        <w:numPr>
          <w:ilvl w:val="0"/>
          <w:numId w:val="6"/>
        </w:numPr>
        <w:spacing w:before="120" w:after="100" w:afterAutospacing="1" w:line="240" w:lineRule="auto"/>
        <w:ind w:left="240"/>
        <w:rPr>
          <w:rFonts w:eastAsia="Times New Roman" w:cstheme="minorHAnsi"/>
          <w:sz w:val="24"/>
          <w:szCs w:val="24"/>
        </w:rPr>
      </w:pPr>
      <w:r w:rsidRPr="00BE7266">
        <w:rPr>
          <w:rFonts w:eastAsia="Times New Roman" w:cstheme="minorHAnsi"/>
          <w:sz w:val="24"/>
          <w:szCs w:val="24"/>
        </w:rPr>
        <w:t xml:space="preserve">Time interval when </w:t>
      </w:r>
      <w:proofErr w:type="spellStart"/>
      <w:r w:rsidR="008B68EB">
        <w:rPr>
          <w:rFonts w:eastAsia="Times New Roman" w:cstheme="minorHAnsi"/>
          <w:sz w:val="24"/>
          <w:szCs w:val="24"/>
        </w:rPr>
        <w:t>A</w:t>
      </w:r>
      <w:r w:rsidRPr="00BE7266">
        <w:rPr>
          <w:rFonts w:eastAsia="Times New Roman" w:cstheme="minorHAnsi"/>
          <w:sz w:val="24"/>
          <w:szCs w:val="24"/>
        </w:rPr>
        <w:t>pixaban</w:t>
      </w:r>
      <w:proofErr w:type="spellEnd"/>
      <w:r w:rsidRPr="00BE7266">
        <w:rPr>
          <w:rFonts w:eastAsia="Times New Roman" w:cstheme="minorHAnsi"/>
          <w:sz w:val="24"/>
          <w:szCs w:val="24"/>
        </w:rPr>
        <w:t xml:space="preserve"> can be restarted after </w:t>
      </w:r>
      <w:proofErr w:type="spellStart"/>
      <w:r w:rsidRPr="00BE7266">
        <w:rPr>
          <w:rFonts w:eastAsia="Times New Roman" w:cstheme="minorHAnsi"/>
          <w:sz w:val="24"/>
          <w:szCs w:val="24"/>
        </w:rPr>
        <w:t>neuraxial</w:t>
      </w:r>
      <w:proofErr w:type="spellEnd"/>
      <w:r w:rsidRPr="00BE7266">
        <w:rPr>
          <w:rFonts w:eastAsia="Times New Roman" w:cstheme="minorHAnsi"/>
          <w:sz w:val="24"/>
          <w:szCs w:val="24"/>
        </w:rPr>
        <w:t xml:space="preserve"> puncture/catheter manipulation or removal: 24 hours. If the risk for VTE is considered to be high, then half the usual drug dose can be administered 12 hours after the procedure.</w:t>
      </w:r>
    </w:p>
    <w:p w:rsidR="00F90139" w:rsidRDefault="00F90139" w:rsidP="00F90139">
      <w:pPr>
        <w:spacing w:before="120" w:after="100" w:afterAutospacing="1" w:line="240" w:lineRule="auto"/>
        <w:rPr>
          <w:rFonts w:eastAsia="Times New Roman" w:cstheme="minorHAnsi"/>
          <w:sz w:val="24"/>
          <w:szCs w:val="24"/>
        </w:rPr>
      </w:pPr>
    </w:p>
    <w:p w:rsidR="00BE7266" w:rsidRPr="00F90139" w:rsidRDefault="00F90139" w:rsidP="00BE7266">
      <w:pPr>
        <w:spacing w:before="120" w:after="100" w:afterAutospacing="1" w:line="240" w:lineRule="auto"/>
        <w:rPr>
          <w:rFonts w:eastAsia="Times New Roman" w:cstheme="minorHAnsi"/>
          <w:sz w:val="24"/>
          <w:szCs w:val="24"/>
        </w:rPr>
      </w:pPr>
      <w:r w:rsidRPr="00F90139">
        <w:rPr>
          <w:rFonts w:cstheme="minorHAnsi"/>
          <w:b/>
          <w:bCs/>
          <w:sz w:val="28"/>
          <w:szCs w:val="24"/>
        </w:rPr>
        <w:lastRenderedPageBreak/>
        <w:t>Management of patients presenting for elective surgery</w:t>
      </w:r>
    </w:p>
    <w:p w:rsidR="00BE7266" w:rsidRDefault="002D2FBA" w:rsidP="002D2FBA">
      <w:pPr>
        <w:spacing w:before="100" w:beforeAutospacing="1" w:after="100" w:afterAutospacing="1" w:line="240" w:lineRule="auto"/>
        <w:rPr>
          <w:rFonts w:eastAsia="Times New Roman" w:cstheme="minorHAnsi"/>
          <w:sz w:val="24"/>
          <w:szCs w:val="24"/>
        </w:rPr>
      </w:pPr>
      <w:r w:rsidRPr="002D2FBA">
        <w:rPr>
          <w:rFonts w:eastAsia="Times New Roman" w:cstheme="minorHAnsi"/>
          <w:sz w:val="24"/>
          <w:szCs w:val="24"/>
        </w:rPr>
        <w:t>Published guidelines have differing recommendations</w:t>
      </w:r>
      <w:r w:rsidR="00C762F9">
        <w:rPr>
          <w:rFonts w:eastAsia="Times New Roman" w:cstheme="minorHAnsi"/>
          <w:sz w:val="24"/>
          <w:szCs w:val="24"/>
        </w:rPr>
        <w:t xml:space="preserve"> </w:t>
      </w:r>
      <w:r w:rsidRPr="002D2FBA">
        <w:rPr>
          <w:rFonts w:eastAsia="Times New Roman" w:cstheme="minorHAnsi"/>
          <w:sz w:val="24"/>
          <w:szCs w:val="24"/>
        </w:rPr>
        <w:t>on the safe interval between discontinuation of the anticoagulant</w:t>
      </w:r>
      <w:r w:rsidR="00C762F9">
        <w:rPr>
          <w:rFonts w:eastAsia="Times New Roman" w:cstheme="minorHAnsi"/>
          <w:sz w:val="24"/>
          <w:szCs w:val="24"/>
        </w:rPr>
        <w:t xml:space="preserve"> </w:t>
      </w:r>
      <w:r w:rsidRPr="002D2FBA">
        <w:rPr>
          <w:rFonts w:eastAsia="Times New Roman" w:cstheme="minorHAnsi"/>
          <w:sz w:val="24"/>
          <w:szCs w:val="24"/>
        </w:rPr>
        <w:t xml:space="preserve">and performance of </w:t>
      </w:r>
      <w:proofErr w:type="spellStart"/>
      <w:r w:rsidRPr="002D2FBA">
        <w:rPr>
          <w:rFonts w:eastAsia="Times New Roman" w:cstheme="minorHAnsi"/>
          <w:sz w:val="24"/>
          <w:szCs w:val="24"/>
        </w:rPr>
        <w:t>neuraxial</w:t>
      </w:r>
      <w:proofErr w:type="spellEnd"/>
      <w:r w:rsidRPr="002D2FBA">
        <w:rPr>
          <w:rFonts w:eastAsia="Times New Roman" w:cstheme="minorHAnsi"/>
          <w:sz w:val="24"/>
          <w:szCs w:val="24"/>
        </w:rPr>
        <w:t xml:space="preserve"> procedures and between the interventional procedure</w:t>
      </w:r>
      <w:r w:rsidR="00C762F9">
        <w:rPr>
          <w:rFonts w:eastAsia="Times New Roman" w:cstheme="minorHAnsi"/>
          <w:sz w:val="24"/>
          <w:szCs w:val="24"/>
        </w:rPr>
        <w:t xml:space="preserve"> </w:t>
      </w:r>
      <w:r w:rsidRPr="002D2FBA">
        <w:rPr>
          <w:rFonts w:eastAsia="Times New Roman" w:cstheme="minorHAnsi"/>
          <w:sz w:val="24"/>
          <w:szCs w:val="24"/>
        </w:rPr>
        <w:t xml:space="preserve">and </w:t>
      </w:r>
      <w:proofErr w:type="spellStart"/>
      <w:r w:rsidRPr="002D2FBA">
        <w:rPr>
          <w:rFonts w:eastAsia="Times New Roman" w:cstheme="minorHAnsi"/>
          <w:sz w:val="24"/>
          <w:szCs w:val="24"/>
        </w:rPr>
        <w:t>redosing</w:t>
      </w:r>
      <w:proofErr w:type="spellEnd"/>
      <w:r w:rsidRPr="002D2FBA">
        <w:rPr>
          <w:rFonts w:eastAsia="Times New Roman" w:cstheme="minorHAnsi"/>
          <w:sz w:val="24"/>
          <w:szCs w:val="24"/>
        </w:rPr>
        <w:t xml:space="preserve"> of the drug. While two to three half-life intervals might be acceptable in</w:t>
      </w:r>
      <w:r w:rsidR="00C762F9">
        <w:rPr>
          <w:rFonts w:eastAsia="Times New Roman" w:cstheme="minorHAnsi"/>
          <w:sz w:val="24"/>
          <w:szCs w:val="24"/>
        </w:rPr>
        <w:t xml:space="preserve"> </w:t>
      </w:r>
      <w:r w:rsidRPr="002D2FBA">
        <w:rPr>
          <w:rFonts w:eastAsia="Times New Roman" w:cstheme="minorHAnsi"/>
          <w:sz w:val="24"/>
          <w:szCs w:val="24"/>
        </w:rPr>
        <w:t>patients who are at high risk for VTE or stroke, an interval of four to six half-lives</w:t>
      </w:r>
      <w:r w:rsidR="00C762F9">
        <w:rPr>
          <w:rFonts w:eastAsia="Times New Roman" w:cstheme="minorHAnsi"/>
          <w:sz w:val="24"/>
          <w:szCs w:val="24"/>
        </w:rPr>
        <w:t xml:space="preserve"> </w:t>
      </w:r>
      <w:r w:rsidRPr="002D2FBA">
        <w:rPr>
          <w:rFonts w:eastAsia="Times New Roman" w:cstheme="minorHAnsi"/>
          <w:sz w:val="24"/>
          <w:szCs w:val="24"/>
        </w:rPr>
        <w:t xml:space="preserve">between discontinuation of the drug and </w:t>
      </w:r>
      <w:proofErr w:type="spellStart"/>
      <w:r w:rsidRPr="002D2FBA">
        <w:rPr>
          <w:rFonts w:eastAsia="Times New Roman" w:cstheme="minorHAnsi"/>
          <w:sz w:val="24"/>
          <w:szCs w:val="24"/>
        </w:rPr>
        <w:t>neuraxial</w:t>
      </w:r>
      <w:proofErr w:type="spellEnd"/>
      <w:r w:rsidRPr="002D2FBA">
        <w:rPr>
          <w:rFonts w:eastAsia="Times New Roman" w:cstheme="minorHAnsi"/>
          <w:sz w:val="24"/>
          <w:szCs w:val="24"/>
        </w:rPr>
        <w:t xml:space="preserve"> injections is probably safer in</w:t>
      </w:r>
      <w:r w:rsidR="00C762F9">
        <w:rPr>
          <w:rFonts w:eastAsia="Times New Roman" w:cstheme="minorHAnsi"/>
          <w:sz w:val="24"/>
          <w:szCs w:val="24"/>
        </w:rPr>
        <w:t xml:space="preserve"> </w:t>
      </w:r>
      <w:r w:rsidRPr="002D2FBA">
        <w:rPr>
          <w:rFonts w:eastAsia="Times New Roman" w:cstheme="minorHAnsi"/>
          <w:sz w:val="24"/>
          <w:szCs w:val="24"/>
        </w:rPr>
        <w:t xml:space="preserve">most patients at low risk of thrombosis.In those with renal disease, the </w:t>
      </w:r>
      <w:r w:rsidR="00C762F9">
        <w:rPr>
          <w:rFonts w:eastAsia="Times New Roman" w:cstheme="minorHAnsi"/>
          <w:sz w:val="24"/>
          <w:szCs w:val="24"/>
        </w:rPr>
        <w:t xml:space="preserve">interval </w:t>
      </w:r>
      <w:proofErr w:type="spellStart"/>
      <w:r w:rsidRPr="002D2FBA">
        <w:rPr>
          <w:rFonts w:eastAsia="Times New Roman" w:cstheme="minorHAnsi"/>
          <w:sz w:val="24"/>
          <w:szCs w:val="24"/>
        </w:rPr>
        <w:t>lshould</w:t>
      </w:r>
      <w:proofErr w:type="spellEnd"/>
      <w:r w:rsidRPr="002D2FBA">
        <w:rPr>
          <w:rFonts w:eastAsia="Times New Roman" w:cstheme="minorHAnsi"/>
          <w:sz w:val="24"/>
          <w:szCs w:val="24"/>
        </w:rPr>
        <w:t xml:space="preserve"> be based on </w:t>
      </w:r>
      <w:proofErr w:type="spellStart"/>
      <w:r w:rsidRPr="002D2FBA">
        <w:rPr>
          <w:rFonts w:eastAsia="Times New Roman" w:cstheme="minorHAnsi"/>
          <w:sz w:val="24"/>
          <w:szCs w:val="24"/>
        </w:rPr>
        <w:t>creatinine</w:t>
      </w:r>
      <w:proofErr w:type="spellEnd"/>
      <w:r w:rsidR="00C762F9">
        <w:rPr>
          <w:rFonts w:eastAsia="Times New Roman" w:cstheme="minorHAnsi"/>
          <w:sz w:val="24"/>
          <w:szCs w:val="24"/>
        </w:rPr>
        <w:t xml:space="preserve"> </w:t>
      </w:r>
      <w:r w:rsidRPr="002D2FBA">
        <w:rPr>
          <w:rFonts w:eastAsia="Times New Roman" w:cstheme="minorHAnsi"/>
          <w:sz w:val="24"/>
          <w:szCs w:val="24"/>
        </w:rPr>
        <w:t xml:space="preserve"> clearance. After a </w:t>
      </w:r>
      <w:proofErr w:type="spellStart"/>
      <w:r w:rsidRPr="002D2FBA">
        <w:rPr>
          <w:rFonts w:eastAsia="Times New Roman" w:cstheme="minorHAnsi"/>
          <w:sz w:val="24"/>
          <w:szCs w:val="24"/>
        </w:rPr>
        <w:t>neuraxial</w:t>
      </w:r>
      <w:proofErr w:type="spellEnd"/>
      <w:r w:rsidRPr="002D2FBA">
        <w:rPr>
          <w:rFonts w:eastAsia="Times New Roman" w:cstheme="minorHAnsi"/>
          <w:sz w:val="24"/>
          <w:szCs w:val="24"/>
        </w:rPr>
        <w:t xml:space="preserve"> procedure or removal of</w:t>
      </w:r>
      <w:r w:rsidR="00C762F9">
        <w:rPr>
          <w:rFonts w:eastAsia="Times New Roman" w:cstheme="minorHAnsi"/>
          <w:sz w:val="24"/>
          <w:szCs w:val="24"/>
        </w:rPr>
        <w:t xml:space="preserve"> </w:t>
      </w:r>
      <w:r w:rsidRPr="002D2FBA">
        <w:rPr>
          <w:rFonts w:eastAsia="Times New Roman" w:cstheme="minorHAnsi"/>
          <w:sz w:val="24"/>
          <w:szCs w:val="24"/>
        </w:rPr>
        <w:t>an epidural catheter, anticoagulants can be resumed within 24–48 h in mostpatients, but they can be taken sooner in patients who are at higher risk for VTE or</w:t>
      </w:r>
      <w:r w:rsidR="00C762F9">
        <w:rPr>
          <w:rFonts w:eastAsia="Times New Roman" w:cstheme="minorHAnsi"/>
          <w:sz w:val="24"/>
          <w:szCs w:val="24"/>
        </w:rPr>
        <w:t xml:space="preserve"> </w:t>
      </w:r>
      <w:r w:rsidRPr="002D2FBA">
        <w:rPr>
          <w:rFonts w:eastAsia="Times New Roman" w:cstheme="minorHAnsi"/>
          <w:sz w:val="24"/>
          <w:szCs w:val="24"/>
        </w:rPr>
        <w:t xml:space="preserve">stroke, that is, 24 h minus the time to peak effect of the drug. The new </w:t>
      </w:r>
      <w:proofErr w:type="spellStart"/>
      <w:r w:rsidRPr="002D2FBA">
        <w:rPr>
          <w:rFonts w:eastAsia="Times New Roman" w:cstheme="minorHAnsi"/>
          <w:sz w:val="24"/>
          <w:szCs w:val="24"/>
        </w:rPr>
        <w:t>antiplatelet</w:t>
      </w:r>
      <w:proofErr w:type="spellEnd"/>
      <w:r w:rsidR="00C762F9">
        <w:rPr>
          <w:rFonts w:eastAsia="Times New Roman" w:cstheme="minorHAnsi"/>
          <w:sz w:val="24"/>
          <w:szCs w:val="24"/>
        </w:rPr>
        <w:t xml:space="preserve"> </w:t>
      </w:r>
      <w:r w:rsidRPr="002D2FBA">
        <w:rPr>
          <w:rFonts w:eastAsia="Times New Roman" w:cstheme="minorHAnsi"/>
          <w:sz w:val="24"/>
          <w:szCs w:val="24"/>
        </w:rPr>
        <w:t xml:space="preserve">drugs </w:t>
      </w:r>
      <w:proofErr w:type="spellStart"/>
      <w:r w:rsidR="00182C95">
        <w:rPr>
          <w:rFonts w:eastAsia="Times New Roman" w:cstheme="minorHAnsi"/>
          <w:sz w:val="24"/>
          <w:szCs w:val="24"/>
        </w:rPr>
        <w:t>P</w:t>
      </w:r>
      <w:r w:rsidRPr="002D2FBA">
        <w:rPr>
          <w:rFonts w:eastAsia="Times New Roman" w:cstheme="minorHAnsi"/>
          <w:sz w:val="24"/>
          <w:szCs w:val="24"/>
        </w:rPr>
        <w:t>rasugrel</w:t>
      </w:r>
      <w:proofErr w:type="spellEnd"/>
      <w:r w:rsidRPr="002D2FBA">
        <w:rPr>
          <w:rFonts w:eastAsia="Times New Roman" w:cstheme="minorHAnsi"/>
          <w:sz w:val="24"/>
          <w:szCs w:val="24"/>
        </w:rPr>
        <w:t xml:space="preserve"> and </w:t>
      </w:r>
      <w:proofErr w:type="spellStart"/>
      <w:r w:rsidR="00182C95">
        <w:rPr>
          <w:rFonts w:eastAsia="Times New Roman" w:cstheme="minorHAnsi"/>
          <w:sz w:val="24"/>
          <w:szCs w:val="24"/>
        </w:rPr>
        <w:t>T</w:t>
      </w:r>
      <w:r w:rsidRPr="002D2FBA">
        <w:rPr>
          <w:rFonts w:eastAsia="Times New Roman" w:cstheme="minorHAnsi"/>
          <w:sz w:val="24"/>
          <w:szCs w:val="24"/>
        </w:rPr>
        <w:t>icagrelor</w:t>
      </w:r>
      <w:proofErr w:type="spellEnd"/>
      <w:r w:rsidRPr="002D2FBA">
        <w:rPr>
          <w:rFonts w:eastAsia="Times New Roman" w:cstheme="minorHAnsi"/>
          <w:sz w:val="24"/>
          <w:szCs w:val="24"/>
        </w:rPr>
        <w:t xml:space="preserve"> should be stopped 7 or 5 days, respectively, before </w:t>
      </w:r>
      <w:proofErr w:type="spellStart"/>
      <w:r w:rsidRPr="002D2FBA">
        <w:rPr>
          <w:rFonts w:eastAsia="Times New Roman" w:cstheme="minorHAnsi"/>
          <w:sz w:val="24"/>
          <w:szCs w:val="24"/>
        </w:rPr>
        <w:t>aneuraxial</w:t>
      </w:r>
      <w:proofErr w:type="spellEnd"/>
      <w:r w:rsidRPr="002D2FBA">
        <w:rPr>
          <w:rFonts w:eastAsia="Times New Roman" w:cstheme="minorHAnsi"/>
          <w:sz w:val="24"/>
          <w:szCs w:val="24"/>
        </w:rPr>
        <w:t xml:space="preserve"> injection and can be restarted 24 h later.</w:t>
      </w:r>
    </w:p>
    <w:p w:rsidR="002D2FBA" w:rsidRDefault="002D2FBA" w:rsidP="002D2FBA">
      <w:pPr>
        <w:spacing w:before="100" w:beforeAutospacing="1" w:after="100" w:afterAutospacing="1" w:line="240" w:lineRule="auto"/>
        <w:rPr>
          <w:rFonts w:eastAsia="Times New Roman" w:cstheme="minorHAnsi"/>
          <w:sz w:val="24"/>
          <w:szCs w:val="24"/>
        </w:rPr>
      </w:pPr>
      <w:r w:rsidRPr="002D2FBA">
        <w:rPr>
          <w:rFonts w:eastAsia="Times New Roman" w:cstheme="minorHAnsi"/>
          <w:sz w:val="24"/>
          <w:szCs w:val="24"/>
        </w:rPr>
        <w:t>Currently, it is generally recommended that patients with the highest risk of arterial or venous thromboembolism, who require interruption of oral anticoagulant therapy for surgery, should receive therapeutic-dose heparin therapy (</w:t>
      </w:r>
      <w:proofErr w:type="spellStart"/>
      <w:r w:rsidRPr="002D2FBA">
        <w:rPr>
          <w:rFonts w:eastAsia="Times New Roman" w:cstheme="minorHAnsi"/>
          <w:sz w:val="24"/>
          <w:szCs w:val="24"/>
        </w:rPr>
        <w:t>eg</w:t>
      </w:r>
      <w:proofErr w:type="spellEnd"/>
      <w:r w:rsidRPr="002D2FBA">
        <w:rPr>
          <w:rFonts w:eastAsia="Times New Roman" w:cstheme="minorHAnsi"/>
          <w:sz w:val="24"/>
          <w:szCs w:val="24"/>
        </w:rPr>
        <w:t xml:space="preserve">, </w:t>
      </w:r>
      <w:proofErr w:type="spellStart"/>
      <w:r w:rsidRPr="002D2FBA">
        <w:rPr>
          <w:rFonts w:eastAsia="Times New Roman" w:cstheme="minorHAnsi"/>
          <w:sz w:val="24"/>
          <w:szCs w:val="24"/>
        </w:rPr>
        <w:t>unfractionated</w:t>
      </w:r>
      <w:proofErr w:type="spellEnd"/>
      <w:r w:rsidRPr="002D2FBA">
        <w:rPr>
          <w:rFonts w:eastAsia="Times New Roman" w:cstheme="minorHAnsi"/>
          <w:sz w:val="24"/>
          <w:szCs w:val="24"/>
        </w:rPr>
        <w:t xml:space="preserve"> heparin [UFH], low molecular weight heparin [LMWH]) during much of the interval when the international normalized ratio (INR) is </w:t>
      </w:r>
      <w:proofErr w:type="spellStart"/>
      <w:r w:rsidRPr="002D2FBA">
        <w:rPr>
          <w:rFonts w:eastAsia="Times New Roman" w:cstheme="minorHAnsi"/>
          <w:sz w:val="24"/>
          <w:szCs w:val="24"/>
        </w:rPr>
        <w:t>subtherapeutic</w:t>
      </w:r>
      <w:proofErr w:type="spellEnd"/>
      <w:r w:rsidRPr="002D2FBA">
        <w:rPr>
          <w:rFonts w:eastAsia="Times New Roman" w:cstheme="minorHAnsi"/>
          <w:sz w:val="24"/>
          <w:szCs w:val="24"/>
        </w:rPr>
        <w:t>.</w:t>
      </w:r>
    </w:p>
    <w:tbl>
      <w:tblPr>
        <w:tblStyle w:val="TableGrid"/>
        <w:tblW w:w="9889" w:type="dxa"/>
        <w:tblLook w:val="04A0"/>
      </w:tblPr>
      <w:tblGrid>
        <w:gridCol w:w="2088"/>
        <w:gridCol w:w="2880"/>
        <w:gridCol w:w="2460"/>
        <w:gridCol w:w="2461"/>
      </w:tblGrid>
      <w:tr w:rsidR="007B56D1" w:rsidTr="007B56D1">
        <w:trPr>
          <w:trHeight w:val="651"/>
        </w:trPr>
        <w:tc>
          <w:tcPr>
            <w:tcW w:w="2088" w:type="dxa"/>
          </w:tcPr>
          <w:p w:rsidR="007B56D1" w:rsidRDefault="007B56D1" w:rsidP="00003C39">
            <w:pPr>
              <w:pStyle w:val="Default"/>
              <w:rPr>
                <w:rFonts w:asciiTheme="minorHAnsi" w:hAnsiTheme="minorHAnsi" w:cstheme="minorHAnsi"/>
                <w:b/>
                <w:bCs/>
                <w:szCs w:val="18"/>
              </w:rPr>
            </w:pPr>
          </w:p>
          <w:p w:rsidR="007B56D1" w:rsidRDefault="007B56D1" w:rsidP="00003C39">
            <w:pPr>
              <w:pStyle w:val="Default"/>
              <w:rPr>
                <w:rFonts w:asciiTheme="minorHAnsi" w:hAnsiTheme="minorHAnsi" w:cstheme="minorHAnsi"/>
                <w:b/>
                <w:bCs/>
                <w:szCs w:val="18"/>
              </w:rPr>
            </w:pPr>
          </w:p>
          <w:p w:rsidR="007B56D1" w:rsidRDefault="007B56D1" w:rsidP="00003C39">
            <w:pPr>
              <w:pStyle w:val="Default"/>
              <w:rPr>
                <w:rFonts w:asciiTheme="minorHAnsi" w:hAnsiTheme="minorHAnsi" w:cstheme="minorHAnsi"/>
                <w:b/>
                <w:bCs/>
                <w:szCs w:val="18"/>
              </w:rPr>
            </w:pPr>
          </w:p>
          <w:p w:rsidR="007B56D1" w:rsidRDefault="007B56D1" w:rsidP="00003C39">
            <w:pPr>
              <w:pStyle w:val="Default"/>
              <w:rPr>
                <w:rFonts w:asciiTheme="minorHAnsi" w:hAnsiTheme="minorHAnsi" w:cstheme="minorHAnsi"/>
                <w:b/>
                <w:bCs/>
                <w:szCs w:val="18"/>
              </w:rPr>
            </w:pPr>
          </w:p>
          <w:p w:rsidR="007B56D1" w:rsidRPr="004A5565" w:rsidRDefault="007B56D1" w:rsidP="00003C39">
            <w:pPr>
              <w:pStyle w:val="Default"/>
              <w:rPr>
                <w:rFonts w:asciiTheme="minorHAnsi" w:hAnsiTheme="minorHAnsi" w:cstheme="minorHAnsi"/>
                <w:szCs w:val="18"/>
              </w:rPr>
            </w:pPr>
            <w:r w:rsidRPr="004A5565">
              <w:rPr>
                <w:rFonts w:asciiTheme="minorHAnsi" w:hAnsiTheme="minorHAnsi" w:cstheme="minorHAnsi"/>
                <w:b/>
                <w:bCs/>
                <w:szCs w:val="18"/>
              </w:rPr>
              <w:t xml:space="preserve">ANTICOAGULANTS </w:t>
            </w:r>
          </w:p>
          <w:p w:rsidR="007B56D1" w:rsidRPr="004A5565" w:rsidRDefault="007B56D1" w:rsidP="002D2FBA">
            <w:pPr>
              <w:spacing w:before="100" w:beforeAutospacing="1" w:after="100" w:afterAutospacing="1"/>
              <w:rPr>
                <w:rFonts w:eastAsia="Times New Roman" w:cstheme="minorHAnsi"/>
                <w:sz w:val="24"/>
                <w:szCs w:val="24"/>
              </w:rPr>
            </w:pPr>
          </w:p>
        </w:tc>
        <w:tc>
          <w:tcPr>
            <w:tcW w:w="2880" w:type="dxa"/>
          </w:tcPr>
          <w:p w:rsidR="00281931" w:rsidRDefault="00281931">
            <w:pPr>
              <w:pStyle w:val="Default"/>
              <w:rPr>
                <w:rFonts w:asciiTheme="minorHAnsi" w:hAnsiTheme="minorHAnsi" w:cstheme="minorHAnsi"/>
                <w:b/>
                <w:bCs/>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b/>
                <w:bCs/>
                <w:szCs w:val="18"/>
              </w:rPr>
              <w:t xml:space="preserve">Timing of spinal needle insertion or epidural catheter placement in a patient who has been given an anticoagulant </w:t>
            </w:r>
          </w:p>
        </w:tc>
        <w:tc>
          <w:tcPr>
            <w:tcW w:w="2460" w:type="dxa"/>
          </w:tcPr>
          <w:p w:rsidR="007B56D1" w:rsidRDefault="007B56D1">
            <w:pPr>
              <w:pStyle w:val="Default"/>
              <w:rPr>
                <w:rFonts w:asciiTheme="minorHAnsi" w:hAnsiTheme="minorHAnsi" w:cstheme="minorHAnsi"/>
                <w:b/>
                <w:bCs/>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b/>
                <w:bCs/>
                <w:szCs w:val="18"/>
              </w:rPr>
              <w:t xml:space="preserve">Catheter manipulation in the presence of anticoagulation </w:t>
            </w:r>
          </w:p>
        </w:tc>
        <w:tc>
          <w:tcPr>
            <w:tcW w:w="2461" w:type="dxa"/>
          </w:tcPr>
          <w:p w:rsidR="007B56D1" w:rsidRDefault="007B56D1">
            <w:pPr>
              <w:pStyle w:val="Default"/>
              <w:rPr>
                <w:rFonts w:asciiTheme="minorHAnsi" w:hAnsiTheme="minorHAnsi" w:cstheme="minorHAnsi"/>
                <w:b/>
                <w:bCs/>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b/>
                <w:bCs/>
                <w:szCs w:val="18"/>
              </w:rPr>
              <w:t xml:space="preserve">Minimum time between epidural catheter insertion or removal and administration of anticoagulant </w:t>
            </w:r>
          </w:p>
        </w:tc>
      </w:tr>
      <w:tr w:rsidR="007B56D1" w:rsidTr="007B56D1">
        <w:trPr>
          <w:trHeight w:val="1139"/>
        </w:trPr>
        <w:tc>
          <w:tcPr>
            <w:tcW w:w="2088" w:type="dxa"/>
          </w:tcPr>
          <w:p w:rsidR="007B56D1" w:rsidRPr="004A5565" w:rsidRDefault="007B56D1" w:rsidP="00003C39">
            <w:pPr>
              <w:pStyle w:val="Default"/>
              <w:rPr>
                <w:rFonts w:asciiTheme="minorHAnsi" w:hAnsiTheme="minorHAnsi" w:cstheme="minorHAnsi"/>
                <w:szCs w:val="18"/>
              </w:rPr>
            </w:pPr>
            <w:proofErr w:type="spellStart"/>
            <w:r w:rsidRPr="004A5565">
              <w:rPr>
                <w:rFonts w:asciiTheme="minorHAnsi" w:hAnsiTheme="minorHAnsi" w:cstheme="minorHAnsi"/>
                <w:b/>
                <w:bCs/>
                <w:szCs w:val="18"/>
              </w:rPr>
              <w:t>Dabigatran</w:t>
            </w:r>
            <w:proofErr w:type="spellEnd"/>
          </w:p>
          <w:p w:rsidR="007B56D1" w:rsidRPr="004A5565" w:rsidRDefault="007B56D1" w:rsidP="002D2FBA">
            <w:pPr>
              <w:spacing w:before="100" w:beforeAutospacing="1" w:after="100" w:afterAutospacing="1"/>
              <w:rPr>
                <w:rFonts w:eastAsia="Times New Roman" w:cstheme="minorHAnsi"/>
                <w:sz w:val="24"/>
                <w:szCs w:val="24"/>
              </w:rPr>
            </w:pPr>
          </w:p>
        </w:tc>
        <w:tc>
          <w:tcPr>
            <w:tcW w:w="2880" w:type="dxa"/>
          </w:tcPr>
          <w:p w:rsidR="007B56D1" w:rsidRDefault="007B56D1" w:rsidP="001C6913">
            <w:pPr>
              <w:pStyle w:val="Default"/>
              <w:rPr>
                <w:rFonts w:asciiTheme="minorHAnsi" w:hAnsiTheme="minorHAnsi" w:cstheme="minorHAnsi"/>
                <w:szCs w:val="18"/>
              </w:rPr>
            </w:pPr>
            <w:r w:rsidRPr="004A5565">
              <w:rPr>
                <w:rFonts w:asciiTheme="minorHAnsi" w:hAnsiTheme="minorHAnsi" w:cstheme="minorHAnsi"/>
                <w:szCs w:val="18"/>
              </w:rPr>
              <w:t xml:space="preserve">Stop </w:t>
            </w:r>
            <w:proofErr w:type="spellStart"/>
            <w:r>
              <w:rPr>
                <w:rFonts w:asciiTheme="minorHAnsi" w:hAnsiTheme="minorHAnsi" w:cstheme="minorHAnsi"/>
                <w:szCs w:val="18"/>
              </w:rPr>
              <w:t>D</w:t>
            </w:r>
            <w:r w:rsidRPr="004A5565">
              <w:rPr>
                <w:rFonts w:asciiTheme="minorHAnsi" w:hAnsiTheme="minorHAnsi" w:cstheme="minorHAnsi"/>
                <w:szCs w:val="18"/>
              </w:rPr>
              <w:t>abigatran</w:t>
            </w:r>
            <w:proofErr w:type="spellEnd"/>
            <w:r w:rsidRPr="004A5565">
              <w:rPr>
                <w:rFonts w:asciiTheme="minorHAnsi" w:hAnsiTheme="minorHAnsi" w:cstheme="minorHAnsi"/>
                <w:szCs w:val="18"/>
              </w:rPr>
              <w:t xml:space="preserve"> </w:t>
            </w:r>
            <w:r>
              <w:rPr>
                <w:rFonts w:asciiTheme="minorHAnsi" w:hAnsiTheme="minorHAnsi" w:cstheme="minorHAnsi"/>
                <w:szCs w:val="18"/>
              </w:rPr>
              <w:t>4</w:t>
            </w:r>
            <w:r w:rsidRPr="004A5565">
              <w:rPr>
                <w:rFonts w:asciiTheme="minorHAnsi" w:hAnsiTheme="minorHAnsi" w:cstheme="minorHAnsi"/>
                <w:szCs w:val="18"/>
              </w:rPr>
              <w:t xml:space="preserve"> to 5 days prior to insertion. </w:t>
            </w:r>
          </w:p>
          <w:p w:rsidR="007B56D1" w:rsidRDefault="007B56D1" w:rsidP="001C6913">
            <w:pPr>
              <w:pStyle w:val="Default"/>
              <w:rPr>
                <w:rFonts w:asciiTheme="minorHAnsi" w:hAnsiTheme="minorHAnsi" w:cstheme="minorHAnsi"/>
                <w:szCs w:val="18"/>
              </w:rPr>
            </w:pPr>
          </w:p>
          <w:p w:rsidR="007B56D1" w:rsidRPr="004A5565" w:rsidRDefault="007B56D1" w:rsidP="001C6913">
            <w:pPr>
              <w:pStyle w:val="Default"/>
              <w:rPr>
                <w:rFonts w:asciiTheme="minorHAnsi" w:hAnsiTheme="minorHAnsi" w:cstheme="minorHAnsi"/>
                <w:szCs w:val="18"/>
              </w:rPr>
            </w:pPr>
            <w:r>
              <w:rPr>
                <w:rFonts w:asciiTheme="minorHAnsi" w:hAnsiTheme="minorHAnsi" w:cstheme="minorHAnsi"/>
                <w:szCs w:val="18"/>
              </w:rPr>
              <w:t xml:space="preserve"> Renal diseases 6 days </w:t>
            </w:r>
          </w:p>
        </w:tc>
        <w:tc>
          <w:tcPr>
            <w:tcW w:w="2460" w:type="dxa"/>
          </w:tcPr>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Caution: avoid any catheter manipulation while the patient is receiving an anticoagulant </w:t>
            </w:r>
          </w:p>
        </w:tc>
        <w:tc>
          <w:tcPr>
            <w:tcW w:w="2461"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Pr>
                <w:rFonts w:asciiTheme="minorHAnsi" w:hAnsiTheme="minorHAnsi" w:cstheme="minorHAnsi"/>
                <w:szCs w:val="18"/>
              </w:rPr>
              <w:t>2</w:t>
            </w:r>
            <w:r w:rsidRPr="004A5565">
              <w:rPr>
                <w:rFonts w:asciiTheme="minorHAnsi" w:hAnsiTheme="minorHAnsi" w:cstheme="minorHAnsi"/>
                <w:szCs w:val="18"/>
              </w:rPr>
              <w:t xml:space="preserve">4 hours </w:t>
            </w:r>
          </w:p>
          <w:p w:rsidR="007B56D1" w:rsidRPr="004A5565" w:rsidRDefault="007B56D1">
            <w:pPr>
              <w:pStyle w:val="Default"/>
              <w:rPr>
                <w:rFonts w:asciiTheme="minorHAnsi" w:hAnsiTheme="minorHAnsi" w:cstheme="minorHAnsi"/>
                <w:szCs w:val="18"/>
              </w:rPr>
            </w:pPr>
            <w:r>
              <w:rPr>
                <w:rFonts w:asciiTheme="minorHAnsi" w:hAnsiTheme="minorHAnsi" w:cstheme="minorHAnsi"/>
                <w:szCs w:val="18"/>
              </w:rPr>
              <w:t xml:space="preserve"> </w:t>
            </w:r>
            <w:r w:rsidRPr="004A5565">
              <w:rPr>
                <w:rFonts w:asciiTheme="minorHAnsi" w:hAnsiTheme="minorHAnsi" w:cstheme="minorHAnsi"/>
                <w:szCs w:val="18"/>
              </w:rPr>
              <w:t xml:space="preserve"> </w:t>
            </w:r>
          </w:p>
        </w:tc>
      </w:tr>
      <w:tr w:rsidR="007B56D1" w:rsidTr="007B56D1">
        <w:trPr>
          <w:trHeight w:val="713"/>
        </w:trPr>
        <w:tc>
          <w:tcPr>
            <w:tcW w:w="2088" w:type="dxa"/>
          </w:tcPr>
          <w:p w:rsidR="007B56D1" w:rsidRPr="004A5565" w:rsidRDefault="007B56D1" w:rsidP="00003C39">
            <w:pPr>
              <w:pStyle w:val="Default"/>
              <w:rPr>
                <w:rFonts w:asciiTheme="minorHAnsi" w:hAnsiTheme="minorHAnsi" w:cstheme="minorHAnsi"/>
                <w:szCs w:val="18"/>
              </w:rPr>
            </w:pPr>
            <w:proofErr w:type="spellStart"/>
            <w:r w:rsidRPr="004A5565">
              <w:rPr>
                <w:rFonts w:asciiTheme="minorHAnsi" w:hAnsiTheme="minorHAnsi" w:cstheme="minorHAnsi"/>
                <w:b/>
                <w:bCs/>
                <w:szCs w:val="18"/>
              </w:rPr>
              <w:t>Rivaroxaban</w:t>
            </w:r>
            <w:proofErr w:type="spellEnd"/>
          </w:p>
          <w:p w:rsidR="007B56D1" w:rsidRPr="004A5565" w:rsidRDefault="007B56D1" w:rsidP="002D2FBA">
            <w:pPr>
              <w:spacing w:before="100" w:beforeAutospacing="1" w:after="100" w:afterAutospacing="1"/>
              <w:rPr>
                <w:rFonts w:eastAsia="Times New Roman" w:cstheme="minorHAnsi"/>
                <w:sz w:val="24"/>
                <w:szCs w:val="24"/>
              </w:rPr>
            </w:pPr>
          </w:p>
        </w:tc>
        <w:tc>
          <w:tcPr>
            <w:tcW w:w="2880" w:type="dxa"/>
          </w:tcPr>
          <w:p w:rsidR="007B56D1"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Stop </w:t>
            </w:r>
            <w:proofErr w:type="spellStart"/>
            <w:r>
              <w:rPr>
                <w:rFonts w:asciiTheme="minorHAnsi" w:hAnsiTheme="minorHAnsi" w:cstheme="minorHAnsi"/>
                <w:szCs w:val="18"/>
              </w:rPr>
              <w:t>R</w:t>
            </w:r>
            <w:r w:rsidRPr="004A5565">
              <w:rPr>
                <w:rFonts w:asciiTheme="minorHAnsi" w:hAnsiTheme="minorHAnsi" w:cstheme="minorHAnsi"/>
                <w:szCs w:val="18"/>
              </w:rPr>
              <w:t>ivaroxaban</w:t>
            </w:r>
            <w:proofErr w:type="spellEnd"/>
            <w:r w:rsidRPr="004A5565">
              <w:rPr>
                <w:rFonts w:asciiTheme="minorHAnsi" w:hAnsiTheme="minorHAnsi" w:cstheme="minorHAnsi"/>
                <w:szCs w:val="18"/>
              </w:rPr>
              <w:t xml:space="preserve"> at least 3 days prior to insertion. </w:t>
            </w: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Consider stopping at least 4 days prior if patient has impaired renal function or age greater than 65. </w:t>
            </w: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 </w:t>
            </w:r>
          </w:p>
        </w:tc>
        <w:tc>
          <w:tcPr>
            <w:tcW w:w="2460"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Caution: avoid any catheter manipulation while the patient is receiving an anticoagulant </w:t>
            </w:r>
          </w:p>
        </w:tc>
        <w:tc>
          <w:tcPr>
            <w:tcW w:w="2461"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Pr>
                <w:rFonts w:asciiTheme="minorHAnsi" w:hAnsiTheme="minorHAnsi" w:cstheme="minorHAnsi"/>
                <w:szCs w:val="18"/>
              </w:rPr>
              <w:t>24</w:t>
            </w:r>
            <w:r w:rsidRPr="004A5565">
              <w:rPr>
                <w:rFonts w:asciiTheme="minorHAnsi" w:hAnsiTheme="minorHAnsi" w:cstheme="minorHAnsi"/>
                <w:szCs w:val="18"/>
              </w:rPr>
              <w:t xml:space="preserve"> hours </w:t>
            </w:r>
          </w:p>
          <w:p w:rsidR="007B56D1" w:rsidRPr="004A5565" w:rsidRDefault="007B56D1">
            <w:pPr>
              <w:pStyle w:val="Default"/>
              <w:rPr>
                <w:rFonts w:asciiTheme="minorHAnsi" w:hAnsiTheme="minorHAnsi" w:cstheme="minorHAnsi"/>
                <w:szCs w:val="18"/>
              </w:rPr>
            </w:pPr>
            <w:r>
              <w:rPr>
                <w:rFonts w:asciiTheme="minorHAnsi" w:hAnsiTheme="minorHAnsi" w:cstheme="minorHAnsi"/>
                <w:szCs w:val="18"/>
              </w:rPr>
              <w:t xml:space="preserve"> </w:t>
            </w:r>
            <w:r w:rsidRPr="004A5565">
              <w:rPr>
                <w:rFonts w:asciiTheme="minorHAnsi" w:hAnsiTheme="minorHAnsi" w:cstheme="minorHAnsi"/>
                <w:szCs w:val="18"/>
              </w:rPr>
              <w:t xml:space="preserve"> </w:t>
            </w:r>
          </w:p>
        </w:tc>
      </w:tr>
      <w:tr w:rsidR="007B56D1" w:rsidTr="007B56D1">
        <w:trPr>
          <w:trHeight w:val="1139"/>
        </w:trPr>
        <w:tc>
          <w:tcPr>
            <w:tcW w:w="2088" w:type="dxa"/>
          </w:tcPr>
          <w:p w:rsidR="007B56D1" w:rsidRPr="004A5565" w:rsidRDefault="007B56D1" w:rsidP="003A249E">
            <w:pPr>
              <w:pStyle w:val="Default"/>
              <w:rPr>
                <w:rFonts w:asciiTheme="minorHAnsi" w:hAnsiTheme="minorHAnsi" w:cstheme="minorHAnsi"/>
                <w:szCs w:val="18"/>
              </w:rPr>
            </w:pPr>
            <w:proofErr w:type="spellStart"/>
            <w:r w:rsidRPr="004A5565">
              <w:rPr>
                <w:rFonts w:asciiTheme="minorHAnsi" w:hAnsiTheme="minorHAnsi" w:cstheme="minorHAnsi"/>
                <w:b/>
                <w:bCs/>
                <w:szCs w:val="18"/>
              </w:rPr>
              <w:lastRenderedPageBreak/>
              <w:t>Apixaban</w:t>
            </w:r>
            <w:proofErr w:type="spellEnd"/>
          </w:p>
          <w:p w:rsidR="007B56D1" w:rsidRPr="004A5565" w:rsidRDefault="007B56D1" w:rsidP="002D2FBA">
            <w:pPr>
              <w:spacing w:before="100" w:beforeAutospacing="1" w:after="100" w:afterAutospacing="1"/>
              <w:rPr>
                <w:rFonts w:eastAsia="Times New Roman" w:cstheme="minorHAnsi"/>
                <w:sz w:val="24"/>
                <w:szCs w:val="24"/>
              </w:rPr>
            </w:pPr>
          </w:p>
        </w:tc>
        <w:tc>
          <w:tcPr>
            <w:tcW w:w="2880" w:type="dxa"/>
          </w:tcPr>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Stop </w:t>
            </w:r>
            <w:proofErr w:type="spellStart"/>
            <w:r>
              <w:rPr>
                <w:rFonts w:asciiTheme="minorHAnsi" w:hAnsiTheme="minorHAnsi" w:cstheme="minorHAnsi"/>
                <w:szCs w:val="18"/>
              </w:rPr>
              <w:t>A</w:t>
            </w:r>
            <w:r w:rsidRPr="004A5565">
              <w:rPr>
                <w:rFonts w:asciiTheme="minorHAnsi" w:hAnsiTheme="minorHAnsi" w:cstheme="minorHAnsi"/>
                <w:szCs w:val="18"/>
              </w:rPr>
              <w:t>pixaban</w:t>
            </w:r>
            <w:proofErr w:type="spellEnd"/>
            <w:r w:rsidRPr="004A5565">
              <w:rPr>
                <w:rFonts w:asciiTheme="minorHAnsi" w:hAnsiTheme="minorHAnsi" w:cstheme="minorHAnsi"/>
                <w:szCs w:val="18"/>
              </w:rPr>
              <w:t xml:space="preserve"> at least 3</w:t>
            </w:r>
            <w:r w:rsidR="00281931">
              <w:rPr>
                <w:rFonts w:asciiTheme="minorHAnsi" w:hAnsiTheme="minorHAnsi" w:cstheme="minorHAnsi"/>
                <w:szCs w:val="18"/>
              </w:rPr>
              <w:t>-5</w:t>
            </w:r>
            <w:r w:rsidRPr="004A5565">
              <w:rPr>
                <w:rFonts w:asciiTheme="minorHAnsi" w:hAnsiTheme="minorHAnsi" w:cstheme="minorHAnsi"/>
                <w:szCs w:val="18"/>
              </w:rPr>
              <w:t xml:space="preserve"> days prior to insertion. </w:t>
            </w: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w:t>
            </w:r>
            <w:proofErr w:type="spellStart"/>
            <w:r w:rsidRPr="004A5565">
              <w:rPr>
                <w:rFonts w:asciiTheme="minorHAnsi" w:hAnsiTheme="minorHAnsi" w:cstheme="minorHAnsi"/>
                <w:szCs w:val="18"/>
              </w:rPr>
              <w:t>CrCl</w:t>
            </w:r>
            <w:proofErr w:type="spellEnd"/>
            <w:r w:rsidRPr="004A5565">
              <w:rPr>
                <w:rFonts w:asciiTheme="minorHAnsi" w:hAnsiTheme="minorHAnsi" w:cstheme="minorHAnsi"/>
                <w:szCs w:val="18"/>
              </w:rPr>
              <w:t xml:space="preserve"> greater than 50ml/min: 3 days </w:t>
            </w: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w:t>
            </w:r>
            <w:proofErr w:type="spellStart"/>
            <w:r w:rsidRPr="004A5565">
              <w:rPr>
                <w:rFonts w:asciiTheme="minorHAnsi" w:hAnsiTheme="minorHAnsi" w:cstheme="minorHAnsi"/>
                <w:szCs w:val="18"/>
              </w:rPr>
              <w:t>CrCl</w:t>
            </w:r>
            <w:proofErr w:type="spellEnd"/>
            <w:r w:rsidRPr="004A5565">
              <w:rPr>
                <w:rFonts w:asciiTheme="minorHAnsi" w:hAnsiTheme="minorHAnsi" w:cstheme="minorHAnsi"/>
                <w:szCs w:val="18"/>
              </w:rPr>
              <w:t xml:space="preserve"> less than or equal to 50ml/min: 4 days </w:t>
            </w:r>
          </w:p>
        </w:tc>
        <w:tc>
          <w:tcPr>
            <w:tcW w:w="2460" w:type="dxa"/>
          </w:tcPr>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Caution: avoid any catheter manipulation while the patient is receiving an anticoagulant </w:t>
            </w:r>
          </w:p>
        </w:tc>
        <w:tc>
          <w:tcPr>
            <w:tcW w:w="2461"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Pr>
                <w:rFonts w:asciiTheme="minorHAnsi" w:hAnsiTheme="minorHAnsi" w:cstheme="minorHAnsi"/>
                <w:szCs w:val="18"/>
              </w:rPr>
              <w:t xml:space="preserve"> </w:t>
            </w:r>
            <w:r w:rsidRPr="004A5565">
              <w:rPr>
                <w:rFonts w:asciiTheme="minorHAnsi" w:hAnsiTheme="minorHAnsi" w:cstheme="minorHAnsi"/>
                <w:szCs w:val="18"/>
              </w:rPr>
              <w:t xml:space="preserve"> </w:t>
            </w:r>
            <w:r>
              <w:rPr>
                <w:rFonts w:asciiTheme="minorHAnsi" w:hAnsiTheme="minorHAnsi" w:cstheme="minorHAnsi"/>
                <w:szCs w:val="18"/>
              </w:rPr>
              <w:t>2</w:t>
            </w:r>
            <w:r w:rsidRPr="004A5565">
              <w:rPr>
                <w:rFonts w:asciiTheme="minorHAnsi" w:hAnsiTheme="minorHAnsi" w:cstheme="minorHAnsi"/>
                <w:szCs w:val="18"/>
              </w:rPr>
              <w:t>4</w:t>
            </w:r>
            <w:r>
              <w:rPr>
                <w:rFonts w:asciiTheme="minorHAnsi" w:hAnsiTheme="minorHAnsi" w:cstheme="minorHAnsi"/>
                <w:szCs w:val="18"/>
              </w:rPr>
              <w:t xml:space="preserve"> </w:t>
            </w:r>
            <w:r w:rsidRPr="004A5565">
              <w:rPr>
                <w:rFonts w:asciiTheme="minorHAnsi" w:hAnsiTheme="minorHAnsi" w:cstheme="minorHAnsi"/>
                <w:szCs w:val="18"/>
              </w:rPr>
              <w:t xml:space="preserve">hours </w:t>
            </w:r>
          </w:p>
          <w:p w:rsidR="007B56D1" w:rsidRPr="004A5565" w:rsidRDefault="007B56D1">
            <w:pPr>
              <w:pStyle w:val="Default"/>
              <w:rPr>
                <w:rFonts w:asciiTheme="minorHAnsi" w:hAnsiTheme="minorHAnsi" w:cstheme="minorHAnsi"/>
                <w:szCs w:val="18"/>
              </w:rPr>
            </w:pPr>
            <w:r>
              <w:rPr>
                <w:rFonts w:asciiTheme="minorHAnsi" w:hAnsiTheme="minorHAnsi" w:cstheme="minorHAnsi"/>
                <w:szCs w:val="18"/>
              </w:rPr>
              <w:t xml:space="preserve"> </w:t>
            </w:r>
            <w:r w:rsidRPr="004A5565">
              <w:rPr>
                <w:rFonts w:asciiTheme="minorHAnsi" w:hAnsiTheme="minorHAnsi" w:cstheme="minorHAnsi"/>
                <w:szCs w:val="18"/>
              </w:rPr>
              <w:t xml:space="preserve"> </w:t>
            </w:r>
          </w:p>
        </w:tc>
      </w:tr>
      <w:tr w:rsidR="007B56D1" w:rsidTr="007B56D1">
        <w:trPr>
          <w:trHeight w:val="368"/>
        </w:trPr>
        <w:tc>
          <w:tcPr>
            <w:tcW w:w="2088" w:type="dxa"/>
          </w:tcPr>
          <w:p w:rsidR="007B56D1" w:rsidRPr="004A5565" w:rsidRDefault="007B56D1" w:rsidP="002D2FBA">
            <w:pPr>
              <w:spacing w:before="100" w:beforeAutospacing="1" w:after="100" w:afterAutospacing="1"/>
              <w:rPr>
                <w:rFonts w:eastAsia="Times New Roman" w:cstheme="minorHAnsi"/>
                <w:sz w:val="24"/>
                <w:szCs w:val="24"/>
              </w:rPr>
            </w:pPr>
            <w:r w:rsidRPr="004A5565">
              <w:rPr>
                <w:rFonts w:cstheme="minorHAnsi"/>
                <w:b/>
                <w:bCs/>
                <w:sz w:val="24"/>
                <w:szCs w:val="18"/>
              </w:rPr>
              <w:t>ANTIPLATELET</w:t>
            </w:r>
          </w:p>
        </w:tc>
        <w:tc>
          <w:tcPr>
            <w:tcW w:w="2880" w:type="dxa"/>
          </w:tcPr>
          <w:p w:rsidR="007B56D1" w:rsidRPr="004A5565" w:rsidRDefault="007B56D1" w:rsidP="0090721B">
            <w:pPr>
              <w:pStyle w:val="Default"/>
              <w:rPr>
                <w:rFonts w:eastAsia="Times New Roman" w:cstheme="minorHAnsi"/>
              </w:rPr>
            </w:pPr>
          </w:p>
        </w:tc>
        <w:tc>
          <w:tcPr>
            <w:tcW w:w="2460" w:type="dxa"/>
          </w:tcPr>
          <w:p w:rsidR="007B56D1" w:rsidRPr="004A5565" w:rsidRDefault="007B56D1">
            <w:pPr>
              <w:pStyle w:val="Default"/>
              <w:rPr>
                <w:rFonts w:asciiTheme="minorHAnsi" w:hAnsiTheme="minorHAnsi" w:cstheme="minorHAnsi"/>
                <w:szCs w:val="18"/>
              </w:rPr>
            </w:pPr>
          </w:p>
        </w:tc>
        <w:tc>
          <w:tcPr>
            <w:tcW w:w="2461" w:type="dxa"/>
          </w:tcPr>
          <w:p w:rsidR="007B56D1" w:rsidRPr="004A5565" w:rsidRDefault="007B56D1" w:rsidP="0090721B">
            <w:pPr>
              <w:pStyle w:val="Default"/>
              <w:rPr>
                <w:rFonts w:eastAsia="Times New Roman" w:cstheme="minorHAnsi"/>
              </w:rPr>
            </w:pPr>
          </w:p>
        </w:tc>
      </w:tr>
      <w:tr w:rsidR="007B56D1" w:rsidTr="007B56D1">
        <w:trPr>
          <w:trHeight w:val="144"/>
        </w:trPr>
        <w:tc>
          <w:tcPr>
            <w:tcW w:w="2088" w:type="dxa"/>
          </w:tcPr>
          <w:p w:rsidR="007B56D1" w:rsidRDefault="007B56D1" w:rsidP="002D2FBA">
            <w:pPr>
              <w:spacing w:before="100" w:beforeAutospacing="1" w:after="100" w:afterAutospacing="1"/>
              <w:rPr>
                <w:rFonts w:cstheme="minorHAnsi"/>
                <w:b/>
                <w:bCs/>
                <w:sz w:val="24"/>
                <w:szCs w:val="18"/>
              </w:rPr>
            </w:pPr>
          </w:p>
          <w:p w:rsidR="007B56D1" w:rsidRPr="004A5565" w:rsidRDefault="007B56D1" w:rsidP="002D2FBA">
            <w:pPr>
              <w:spacing w:before="100" w:beforeAutospacing="1" w:after="100" w:afterAutospacing="1"/>
              <w:rPr>
                <w:rFonts w:eastAsia="Times New Roman" w:cstheme="minorHAnsi"/>
                <w:sz w:val="24"/>
                <w:szCs w:val="24"/>
              </w:rPr>
            </w:pPr>
            <w:proofErr w:type="spellStart"/>
            <w:r w:rsidRPr="004A5565">
              <w:rPr>
                <w:rFonts w:cstheme="minorHAnsi"/>
                <w:b/>
                <w:bCs/>
                <w:sz w:val="24"/>
                <w:szCs w:val="18"/>
              </w:rPr>
              <w:t>Prasugrel</w:t>
            </w:r>
            <w:proofErr w:type="spellEnd"/>
          </w:p>
        </w:tc>
        <w:tc>
          <w:tcPr>
            <w:tcW w:w="2880"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7-10 days </w:t>
            </w:r>
          </w:p>
        </w:tc>
        <w:tc>
          <w:tcPr>
            <w:tcW w:w="2460" w:type="dxa"/>
            <w:vMerge w:val="restart"/>
          </w:tcPr>
          <w:p w:rsidR="007B56D1" w:rsidRPr="004A5565"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CONTRAINDICATED while catheter in place </w:t>
            </w:r>
          </w:p>
        </w:tc>
        <w:tc>
          <w:tcPr>
            <w:tcW w:w="2461"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281931">
            <w:pPr>
              <w:pStyle w:val="Default"/>
              <w:rPr>
                <w:rFonts w:asciiTheme="minorHAnsi" w:hAnsiTheme="minorHAnsi" w:cstheme="minorHAnsi"/>
                <w:szCs w:val="18"/>
              </w:rPr>
            </w:pPr>
            <w:r>
              <w:rPr>
                <w:rFonts w:asciiTheme="minorHAnsi" w:hAnsiTheme="minorHAnsi" w:cstheme="minorHAnsi"/>
                <w:szCs w:val="18"/>
              </w:rPr>
              <w:t>24</w:t>
            </w:r>
            <w:r w:rsidR="007B56D1" w:rsidRPr="004A5565">
              <w:rPr>
                <w:rFonts w:asciiTheme="minorHAnsi" w:hAnsiTheme="minorHAnsi" w:cstheme="minorHAnsi"/>
                <w:szCs w:val="18"/>
              </w:rPr>
              <w:t xml:space="preserve"> hours </w:t>
            </w:r>
          </w:p>
        </w:tc>
      </w:tr>
      <w:tr w:rsidR="007B56D1" w:rsidTr="007B56D1">
        <w:trPr>
          <w:trHeight w:val="37"/>
        </w:trPr>
        <w:tc>
          <w:tcPr>
            <w:tcW w:w="2088" w:type="dxa"/>
          </w:tcPr>
          <w:p w:rsidR="007B56D1" w:rsidRDefault="007B56D1" w:rsidP="003A249E">
            <w:pPr>
              <w:pStyle w:val="Default"/>
              <w:rPr>
                <w:rFonts w:asciiTheme="minorHAnsi" w:hAnsiTheme="minorHAnsi" w:cstheme="minorHAnsi"/>
                <w:b/>
                <w:bCs/>
                <w:szCs w:val="18"/>
              </w:rPr>
            </w:pPr>
          </w:p>
          <w:p w:rsidR="007B56D1" w:rsidRDefault="007B56D1" w:rsidP="003A249E">
            <w:pPr>
              <w:pStyle w:val="Default"/>
              <w:rPr>
                <w:rFonts w:asciiTheme="minorHAnsi" w:hAnsiTheme="minorHAnsi" w:cstheme="minorHAnsi"/>
                <w:b/>
                <w:bCs/>
                <w:szCs w:val="18"/>
              </w:rPr>
            </w:pPr>
          </w:p>
          <w:p w:rsidR="007B56D1" w:rsidRDefault="007B56D1" w:rsidP="003A249E">
            <w:pPr>
              <w:pStyle w:val="Default"/>
              <w:rPr>
                <w:rFonts w:asciiTheme="minorHAnsi" w:hAnsiTheme="minorHAnsi" w:cstheme="minorHAnsi"/>
                <w:b/>
                <w:bCs/>
                <w:szCs w:val="18"/>
              </w:rPr>
            </w:pPr>
          </w:p>
          <w:p w:rsidR="007B56D1" w:rsidRPr="004A5565" w:rsidRDefault="007B56D1" w:rsidP="003A249E">
            <w:pPr>
              <w:pStyle w:val="Default"/>
              <w:rPr>
                <w:rFonts w:asciiTheme="minorHAnsi" w:hAnsiTheme="minorHAnsi" w:cstheme="minorHAnsi"/>
                <w:szCs w:val="18"/>
              </w:rPr>
            </w:pPr>
            <w:proofErr w:type="spellStart"/>
            <w:r w:rsidRPr="004A5565">
              <w:rPr>
                <w:rFonts w:asciiTheme="minorHAnsi" w:hAnsiTheme="minorHAnsi" w:cstheme="minorHAnsi"/>
                <w:b/>
                <w:bCs/>
                <w:szCs w:val="18"/>
              </w:rPr>
              <w:t>Ticagrelor</w:t>
            </w:r>
            <w:proofErr w:type="spellEnd"/>
          </w:p>
          <w:p w:rsidR="007B56D1" w:rsidRPr="004A5565" w:rsidRDefault="007B56D1" w:rsidP="002D2FBA">
            <w:pPr>
              <w:spacing w:before="100" w:beforeAutospacing="1" w:after="100" w:afterAutospacing="1"/>
              <w:rPr>
                <w:rFonts w:cstheme="minorHAnsi"/>
                <w:b/>
                <w:bCs/>
                <w:sz w:val="24"/>
                <w:szCs w:val="18"/>
              </w:rPr>
            </w:pPr>
          </w:p>
        </w:tc>
        <w:tc>
          <w:tcPr>
            <w:tcW w:w="2880"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7B56D1">
            <w:pPr>
              <w:pStyle w:val="Default"/>
              <w:rPr>
                <w:rFonts w:asciiTheme="minorHAnsi" w:hAnsiTheme="minorHAnsi" w:cstheme="minorHAnsi"/>
                <w:szCs w:val="18"/>
              </w:rPr>
            </w:pPr>
            <w:r w:rsidRPr="004A5565">
              <w:rPr>
                <w:rFonts w:asciiTheme="minorHAnsi" w:hAnsiTheme="minorHAnsi" w:cstheme="minorHAnsi"/>
                <w:szCs w:val="18"/>
              </w:rPr>
              <w:t xml:space="preserve">5 days </w:t>
            </w:r>
          </w:p>
        </w:tc>
        <w:tc>
          <w:tcPr>
            <w:tcW w:w="2460" w:type="dxa"/>
            <w:vMerge/>
          </w:tcPr>
          <w:p w:rsidR="007B56D1" w:rsidRPr="004A5565" w:rsidRDefault="007B56D1" w:rsidP="002D2FBA">
            <w:pPr>
              <w:spacing w:before="100" w:beforeAutospacing="1" w:after="100" w:afterAutospacing="1"/>
              <w:rPr>
                <w:rFonts w:eastAsia="Times New Roman" w:cstheme="minorHAnsi"/>
                <w:sz w:val="24"/>
                <w:szCs w:val="24"/>
              </w:rPr>
            </w:pPr>
          </w:p>
        </w:tc>
        <w:tc>
          <w:tcPr>
            <w:tcW w:w="2461" w:type="dxa"/>
          </w:tcPr>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Default="007B56D1">
            <w:pPr>
              <w:pStyle w:val="Default"/>
              <w:rPr>
                <w:rFonts w:asciiTheme="minorHAnsi" w:hAnsiTheme="minorHAnsi" w:cstheme="minorHAnsi"/>
                <w:szCs w:val="18"/>
              </w:rPr>
            </w:pPr>
          </w:p>
          <w:p w:rsidR="007B56D1" w:rsidRPr="004A5565" w:rsidRDefault="00281931">
            <w:pPr>
              <w:pStyle w:val="Default"/>
              <w:rPr>
                <w:rFonts w:asciiTheme="minorHAnsi" w:hAnsiTheme="minorHAnsi" w:cstheme="minorHAnsi"/>
                <w:szCs w:val="18"/>
              </w:rPr>
            </w:pPr>
            <w:r>
              <w:rPr>
                <w:rFonts w:asciiTheme="minorHAnsi" w:hAnsiTheme="minorHAnsi" w:cstheme="minorHAnsi"/>
                <w:szCs w:val="18"/>
              </w:rPr>
              <w:t>24</w:t>
            </w:r>
            <w:r w:rsidR="007B56D1" w:rsidRPr="004A5565">
              <w:rPr>
                <w:rFonts w:asciiTheme="minorHAnsi" w:hAnsiTheme="minorHAnsi" w:cstheme="minorHAnsi"/>
                <w:szCs w:val="18"/>
              </w:rPr>
              <w:t xml:space="preserve"> hours </w:t>
            </w:r>
          </w:p>
        </w:tc>
      </w:tr>
    </w:tbl>
    <w:p w:rsidR="00F96838" w:rsidRPr="00F96838" w:rsidRDefault="00F96838" w:rsidP="00F96838">
      <w:pPr>
        <w:spacing w:before="100" w:beforeAutospacing="1" w:after="100" w:afterAutospacing="1" w:line="240" w:lineRule="auto"/>
        <w:rPr>
          <w:rFonts w:cstheme="minorHAnsi"/>
          <w:bCs/>
          <w:i/>
          <w:szCs w:val="20"/>
        </w:rPr>
      </w:pPr>
      <w:r w:rsidRPr="00F96838">
        <w:rPr>
          <w:rFonts w:cstheme="minorHAnsi"/>
          <w:bCs/>
          <w:i/>
          <w:szCs w:val="20"/>
        </w:rPr>
        <w:t xml:space="preserve">The above table is based on Guidelines From the American Society of Regional Anesthesia and Pain Medicine, the European Society of Regional </w:t>
      </w:r>
      <w:proofErr w:type="spellStart"/>
      <w:r w:rsidRPr="00F96838">
        <w:rPr>
          <w:rFonts w:cstheme="minorHAnsi"/>
          <w:bCs/>
          <w:i/>
          <w:szCs w:val="20"/>
        </w:rPr>
        <w:t>Anaesthesia</w:t>
      </w:r>
      <w:proofErr w:type="spellEnd"/>
      <w:r w:rsidRPr="00F96838">
        <w:rPr>
          <w:rFonts w:cstheme="minorHAnsi"/>
          <w:bCs/>
          <w:i/>
          <w:szCs w:val="20"/>
        </w:rPr>
        <w:t xml:space="preserve"> and Pain Therapy, the American Academy of Pain Medicine, the International </w:t>
      </w:r>
      <w:proofErr w:type="spellStart"/>
      <w:r w:rsidRPr="00F96838">
        <w:rPr>
          <w:rFonts w:cstheme="minorHAnsi"/>
          <w:bCs/>
          <w:i/>
          <w:szCs w:val="20"/>
        </w:rPr>
        <w:t>Neuromodulation</w:t>
      </w:r>
      <w:proofErr w:type="spellEnd"/>
      <w:r w:rsidRPr="00F96838">
        <w:rPr>
          <w:rFonts w:cstheme="minorHAnsi"/>
          <w:bCs/>
          <w:i/>
          <w:szCs w:val="20"/>
        </w:rPr>
        <w:t xml:space="preserve"> Society, the North American </w:t>
      </w:r>
      <w:proofErr w:type="spellStart"/>
      <w:r w:rsidRPr="00F96838">
        <w:rPr>
          <w:rFonts w:cstheme="minorHAnsi"/>
          <w:bCs/>
          <w:i/>
          <w:szCs w:val="20"/>
        </w:rPr>
        <w:t>Neuromodulation</w:t>
      </w:r>
      <w:proofErr w:type="spellEnd"/>
      <w:r w:rsidRPr="00F96838">
        <w:rPr>
          <w:rFonts w:cstheme="minorHAnsi"/>
          <w:bCs/>
          <w:i/>
          <w:szCs w:val="20"/>
        </w:rPr>
        <w:t xml:space="preserve"> Society, and the World Institute of Pain</w:t>
      </w:r>
      <w:r>
        <w:rPr>
          <w:rFonts w:cstheme="minorHAnsi"/>
          <w:bCs/>
          <w:i/>
          <w:szCs w:val="20"/>
        </w:rPr>
        <w:t xml:space="preserve">. </w:t>
      </w:r>
      <w:r w:rsidRPr="00F96838">
        <w:rPr>
          <w:rFonts w:cstheme="minorHAnsi"/>
          <w:bCs/>
          <w:i/>
          <w:szCs w:val="20"/>
        </w:rPr>
        <w:t xml:space="preserve"> </w:t>
      </w:r>
      <w:proofErr w:type="spellStart"/>
      <w:r w:rsidR="00D24718" w:rsidRPr="00D24718">
        <w:rPr>
          <w:rFonts w:cstheme="minorHAnsi"/>
          <w:bCs/>
          <w:i/>
          <w:szCs w:val="20"/>
        </w:rPr>
        <w:t>Reg</w:t>
      </w:r>
      <w:proofErr w:type="spellEnd"/>
      <w:r w:rsidR="00D24718" w:rsidRPr="00D24718">
        <w:rPr>
          <w:rFonts w:cstheme="minorHAnsi"/>
          <w:bCs/>
          <w:i/>
          <w:szCs w:val="20"/>
        </w:rPr>
        <w:t xml:space="preserve"> </w:t>
      </w:r>
      <w:proofErr w:type="spellStart"/>
      <w:r w:rsidR="00D24718" w:rsidRPr="00D24718">
        <w:rPr>
          <w:rFonts w:cstheme="minorHAnsi"/>
          <w:bCs/>
          <w:i/>
          <w:szCs w:val="20"/>
        </w:rPr>
        <w:t>Anesth</w:t>
      </w:r>
      <w:proofErr w:type="spellEnd"/>
      <w:r w:rsidR="00D24718" w:rsidRPr="00D24718">
        <w:rPr>
          <w:rFonts w:cstheme="minorHAnsi"/>
          <w:bCs/>
          <w:i/>
          <w:szCs w:val="20"/>
        </w:rPr>
        <w:t xml:space="preserve"> Pain Med 2015</w:t>
      </w:r>
      <w:proofErr w:type="gramStart"/>
      <w:r w:rsidR="00D24718" w:rsidRPr="00D24718">
        <w:rPr>
          <w:rFonts w:cstheme="minorHAnsi"/>
          <w:bCs/>
          <w:i/>
          <w:szCs w:val="20"/>
        </w:rPr>
        <w:t>;40</w:t>
      </w:r>
      <w:proofErr w:type="gramEnd"/>
      <w:r w:rsidR="00D24718" w:rsidRPr="00D24718">
        <w:rPr>
          <w:rFonts w:cstheme="minorHAnsi"/>
          <w:bCs/>
          <w:i/>
          <w:szCs w:val="20"/>
        </w:rPr>
        <w:t>: 182–212</w:t>
      </w:r>
      <w:r w:rsidR="00D24718">
        <w:rPr>
          <w:rFonts w:cstheme="minorHAnsi"/>
          <w:bCs/>
          <w:i/>
          <w:szCs w:val="20"/>
        </w:rPr>
        <w:t xml:space="preserve">. </w:t>
      </w:r>
    </w:p>
    <w:p w:rsidR="00D24718" w:rsidRDefault="00D24718" w:rsidP="00924F37">
      <w:pPr>
        <w:spacing w:before="100" w:beforeAutospacing="1" w:after="100" w:afterAutospacing="1" w:line="240" w:lineRule="auto"/>
        <w:rPr>
          <w:rFonts w:cstheme="minorHAnsi"/>
          <w:b/>
          <w:bCs/>
          <w:sz w:val="28"/>
          <w:szCs w:val="20"/>
        </w:rPr>
      </w:pPr>
    </w:p>
    <w:p w:rsidR="00BE7266" w:rsidRPr="008A4106" w:rsidRDefault="008F00B1" w:rsidP="00924F37">
      <w:pPr>
        <w:spacing w:before="100" w:beforeAutospacing="1" w:after="100" w:afterAutospacing="1" w:line="240" w:lineRule="auto"/>
        <w:rPr>
          <w:rFonts w:eastAsia="Times New Roman" w:cstheme="minorHAnsi"/>
          <w:sz w:val="36"/>
          <w:szCs w:val="24"/>
        </w:rPr>
      </w:pPr>
      <w:r w:rsidRPr="008A4106">
        <w:rPr>
          <w:rFonts w:cstheme="minorHAnsi"/>
          <w:b/>
          <w:bCs/>
          <w:sz w:val="28"/>
          <w:szCs w:val="20"/>
        </w:rPr>
        <w:t>MANAGEMENT OF PATIENTS PRESENTING FOR EMERGENCY SURGERY</w:t>
      </w:r>
    </w:p>
    <w:p w:rsidR="00924F37" w:rsidRDefault="008A4106" w:rsidP="008A4106">
      <w:pPr>
        <w:rPr>
          <w:rFonts w:cstheme="minorHAnsi"/>
          <w:sz w:val="24"/>
        </w:rPr>
      </w:pPr>
      <w:r w:rsidRPr="008A4106">
        <w:rPr>
          <w:rFonts w:cstheme="minorHAnsi"/>
          <w:sz w:val="24"/>
        </w:rPr>
        <w:t xml:space="preserve">Good communication between surgical and </w:t>
      </w:r>
      <w:proofErr w:type="spellStart"/>
      <w:r w:rsidRPr="008A4106">
        <w:rPr>
          <w:rFonts w:cstheme="minorHAnsi"/>
          <w:sz w:val="24"/>
        </w:rPr>
        <w:t>anaesthetic</w:t>
      </w:r>
      <w:proofErr w:type="spellEnd"/>
      <w:r w:rsidRPr="008A4106">
        <w:rPr>
          <w:rFonts w:cstheme="minorHAnsi"/>
          <w:sz w:val="24"/>
        </w:rPr>
        <w:t xml:space="preserve"> teams is vital to coordinate optimal timing of</w:t>
      </w:r>
      <w:r w:rsidR="00C762F9">
        <w:rPr>
          <w:rFonts w:cstheme="minorHAnsi"/>
          <w:sz w:val="24"/>
        </w:rPr>
        <w:t xml:space="preserve"> </w:t>
      </w:r>
      <w:r w:rsidRPr="008A4106">
        <w:rPr>
          <w:rFonts w:cstheme="minorHAnsi"/>
          <w:sz w:val="24"/>
        </w:rPr>
        <w:t>surgical intervention. Ideally emergency surgery should be started at least 1-2 elimination half-lives</w:t>
      </w:r>
      <w:r w:rsidR="00C762F9">
        <w:rPr>
          <w:rFonts w:cstheme="minorHAnsi"/>
          <w:sz w:val="24"/>
        </w:rPr>
        <w:t xml:space="preserve"> </w:t>
      </w:r>
      <w:r w:rsidRPr="008A4106">
        <w:rPr>
          <w:rFonts w:cstheme="minorHAnsi"/>
          <w:sz w:val="24"/>
        </w:rPr>
        <w:t>after the last dose of anticoagulant if possible.</w:t>
      </w:r>
      <w:r>
        <w:rPr>
          <w:rFonts w:cstheme="minorHAnsi"/>
          <w:sz w:val="24"/>
        </w:rPr>
        <w:t xml:space="preserve"> Few </w:t>
      </w:r>
      <w:r w:rsidRPr="008A4106">
        <w:rPr>
          <w:rFonts w:cstheme="minorHAnsi"/>
          <w:sz w:val="24"/>
        </w:rPr>
        <w:t xml:space="preserve">guideline suggests starting surgery&gt;12 hours after </w:t>
      </w:r>
      <w:proofErr w:type="spellStart"/>
      <w:r w:rsidR="00182C95">
        <w:rPr>
          <w:rFonts w:cstheme="minorHAnsi"/>
          <w:sz w:val="24"/>
        </w:rPr>
        <w:t>D</w:t>
      </w:r>
      <w:r w:rsidRPr="008A4106">
        <w:rPr>
          <w:rFonts w:cstheme="minorHAnsi"/>
          <w:sz w:val="24"/>
        </w:rPr>
        <w:t>abigatran</w:t>
      </w:r>
      <w:proofErr w:type="spellEnd"/>
      <w:r w:rsidRPr="008A4106">
        <w:rPr>
          <w:rFonts w:cstheme="minorHAnsi"/>
          <w:sz w:val="24"/>
        </w:rPr>
        <w:t xml:space="preserve">, and &gt;24 hours for </w:t>
      </w:r>
      <w:proofErr w:type="spellStart"/>
      <w:r w:rsidR="00182C95">
        <w:rPr>
          <w:rFonts w:cstheme="minorHAnsi"/>
          <w:sz w:val="24"/>
        </w:rPr>
        <w:t>R</w:t>
      </w:r>
      <w:r w:rsidRPr="008A4106">
        <w:rPr>
          <w:rFonts w:cstheme="minorHAnsi"/>
          <w:sz w:val="24"/>
        </w:rPr>
        <w:t>ivaroxaban</w:t>
      </w:r>
      <w:proofErr w:type="spellEnd"/>
      <w:r w:rsidRPr="008A4106">
        <w:rPr>
          <w:rFonts w:cstheme="minorHAnsi"/>
          <w:sz w:val="24"/>
        </w:rPr>
        <w:t xml:space="preserve"> and </w:t>
      </w:r>
      <w:proofErr w:type="spellStart"/>
      <w:r w:rsidR="00182C95">
        <w:rPr>
          <w:rFonts w:cstheme="minorHAnsi"/>
          <w:sz w:val="24"/>
        </w:rPr>
        <w:t>A</w:t>
      </w:r>
      <w:r w:rsidRPr="008A4106">
        <w:rPr>
          <w:rFonts w:cstheme="minorHAnsi"/>
          <w:sz w:val="24"/>
        </w:rPr>
        <w:t>pixaban</w:t>
      </w:r>
      <w:proofErr w:type="spellEnd"/>
      <w:r w:rsidRPr="008A4106">
        <w:rPr>
          <w:rFonts w:cstheme="minorHAnsi"/>
          <w:sz w:val="24"/>
        </w:rPr>
        <w:t>. Conventional coagulation</w:t>
      </w:r>
      <w:r w:rsidR="00C762F9">
        <w:rPr>
          <w:rFonts w:cstheme="minorHAnsi"/>
          <w:sz w:val="24"/>
        </w:rPr>
        <w:t xml:space="preserve"> </w:t>
      </w:r>
      <w:r w:rsidRPr="008A4106">
        <w:rPr>
          <w:rFonts w:cstheme="minorHAnsi"/>
          <w:sz w:val="24"/>
        </w:rPr>
        <w:t>tests give limited information and cannot be used quantitatively to establish anticoagulant effect.</w:t>
      </w:r>
      <w:r w:rsidRPr="008A4106">
        <w:rPr>
          <w:rFonts w:cstheme="minorHAnsi"/>
          <w:sz w:val="24"/>
          <w:vertAlign w:val="superscript"/>
        </w:rPr>
        <w:t>2</w:t>
      </w:r>
      <w:r>
        <w:rPr>
          <w:rFonts w:cstheme="minorHAnsi"/>
          <w:sz w:val="24"/>
          <w:vertAlign w:val="superscript"/>
        </w:rPr>
        <w:t>0</w:t>
      </w:r>
      <w:r w:rsidRPr="008A4106">
        <w:rPr>
          <w:rFonts w:cstheme="minorHAnsi"/>
          <w:sz w:val="24"/>
        </w:rPr>
        <w:t>If</w:t>
      </w:r>
      <w:r w:rsidR="00C762F9">
        <w:rPr>
          <w:rFonts w:cstheme="minorHAnsi"/>
          <w:sz w:val="24"/>
        </w:rPr>
        <w:t xml:space="preserve"> </w:t>
      </w:r>
      <w:r w:rsidRPr="008A4106">
        <w:rPr>
          <w:rFonts w:cstheme="minorHAnsi"/>
          <w:sz w:val="24"/>
        </w:rPr>
        <w:t xml:space="preserve">the APPT is not elevated the effect of </w:t>
      </w:r>
      <w:proofErr w:type="spellStart"/>
      <w:r w:rsidR="0090721B">
        <w:rPr>
          <w:rFonts w:cstheme="minorHAnsi"/>
          <w:sz w:val="24"/>
        </w:rPr>
        <w:t>D</w:t>
      </w:r>
      <w:r w:rsidRPr="008A4106">
        <w:rPr>
          <w:rFonts w:cstheme="minorHAnsi"/>
          <w:sz w:val="24"/>
        </w:rPr>
        <w:t>abigatran</w:t>
      </w:r>
      <w:proofErr w:type="spellEnd"/>
      <w:r w:rsidRPr="008A4106">
        <w:rPr>
          <w:rFonts w:cstheme="minorHAnsi"/>
          <w:sz w:val="24"/>
        </w:rPr>
        <w:t xml:space="preserve"> is likely to be low. The same applies to </w:t>
      </w:r>
      <w:proofErr w:type="spellStart"/>
      <w:r w:rsidR="0090721B">
        <w:rPr>
          <w:rFonts w:cstheme="minorHAnsi"/>
          <w:sz w:val="24"/>
        </w:rPr>
        <w:t>R</w:t>
      </w:r>
      <w:r w:rsidRPr="008A4106">
        <w:rPr>
          <w:rFonts w:cstheme="minorHAnsi"/>
          <w:sz w:val="24"/>
        </w:rPr>
        <w:t>ivaroxaban</w:t>
      </w:r>
      <w:proofErr w:type="spellEnd"/>
      <w:r w:rsidRPr="008A4106">
        <w:rPr>
          <w:rFonts w:cstheme="minorHAnsi"/>
          <w:sz w:val="24"/>
        </w:rPr>
        <w:t xml:space="preserve"> if</w:t>
      </w:r>
      <w:r w:rsidR="00C762F9">
        <w:rPr>
          <w:rFonts w:cstheme="minorHAnsi"/>
          <w:sz w:val="24"/>
        </w:rPr>
        <w:t xml:space="preserve"> </w:t>
      </w:r>
      <w:r w:rsidRPr="008A4106">
        <w:rPr>
          <w:rFonts w:cstheme="minorHAnsi"/>
          <w:sz w:val="24"/>
        </w:rPr>
        <w:t>the PT is normal but a degree of anticoagulation cannot be excluded.</w:t>
      </w:r>
      <w:r w:rsidRPr="008A4106">
        <w:rPr>
          <w:rFonts w:cstheme="minorHAnsi"/>
          <w:sz w:val="24"/>
          <w:vertAlign w:val="superscript"/>
        </w:rPr>
        <w:t>2</w:t>
      </w:r>
      <w:r>
        <w:rPr>
          <w:rFonts w:cstheme="minorHAnsi"/>
          <w:sz w:val="24"/>
          <w:vertAlign w:val="superscript"/>
        </w:rPr>
        <w:t xml:space="preserve">1 </w:t>
      </w:r>
      <w:proofErr w:type="gramStart"/>
      <w:r w:rsidRPr="008A4106">
        <w:rPr>
          <w:rFonts w:cstheme="minorHAnsi"/>
          <w:sz w:val="24"/>
        </w:rPr>
        <w:t>There</w:t>
      </w:r>
      <w:proofErr w:type="gramEnd"/>
      <w:r w:rsidRPr="008A4106">
        <w:rPr>
          <w:rFonts w:cstheme="minorHAnsi"/>
          <w:sz w:val="24"/>
        </w:rPr>
        <w:t xml:space="preserve"> is no specific antidote for </w:t>
      </w:r>
      <w:proofErr w:type="spellStart"/>
      <w:r w:rsidR="00182C95">
        <w:rPr>
          <w:rFonts w:cstheme="minorHAnsi"/>
          <w:sz w:val="24"/>
        </w:rPr>
        <w:t>R</w:t>
      </w:r>
      <w:r w:rsidRPr="008A4106">
        <w:rPr>
          <w:rFonts w:cstheme="minorHAnsi"/>
          <w:sz w:val="24"/>
        </w:rPr>
        <w:t>ivaroxaban</w:t>
      </w:r>
      <w:proofErr w:type="spellEnd"/>
      <w:r w:rsidRPr="008A4106">
        <w:rPr>
          <w:rFonts w:cstheme="minorHAnsi"/>
          <w:sz w:val="24"/>
        </w:rPr>
        <w:t xml:space="preserve">, and </w:t>
      </w:r>
      <w:proofErr w:type="spellStart"/>
      <w:r w:rsidR="00182C95">
        <w:rPr>
          <w:rFonts w:cstheme="minorHAnsi"/>
          <w:sz w:val="24"/>
        </w:rPr>
        <w:t>A</w:t>
      </w:r>
      <w:r w:rsidRPr="008A4106">
        <w:rPr>
          <w:rFonts w:cstheme="minorHAnsi"/>
          <w:sz w:val="24"/>
        </w:rPr>
        <w:t>pixaban</w:t>
      </w:r>
      <w:proofErr w:type="spellEnd"/>
      <w:r>
        <w:rPr>
          <w:rFonts w:cstheme="minorHAnsi"/>
          <w:sz w:val="24"/>
        </w:rPr>
        <w:t>.</w:t>
      </w:r>
    </w:p>
    <w:p w:rsidR="00D24718" w:rsidRDefault="00D24718" w:rsidP="008A4106">
      <w:pPr>
        <w:rPr>
          <w:rFonts w:cstheme="minorHAnsi"/>
          <w:b/>
          <w:sz w:val="24"/>
        </w:rPr>
      </w:pPr>
    </w:p>
    <w:p w:rsidR="00D24718" w:rsidRDefault="00D24718" w:rsidP="008A4106">
      <w:pPr>
        <w:rPr>
          <w:rFonts w:cstheme="minorHAnsi"/>
          <w:b/>
          <w:sz w:val="24"/>
        </w:rPr>
      </w:pPr>
    </w:p>
    <w:p w:rsidR="00D24718" w:rsidRDefault="00D24718" w:rsidP="008A4106">
      <w:pPr>
        <w:rPr>
          <w:rFonts w:cstheme="minorHAnsi"/>
          <w:b/>
          <w:sz w:val="24"/>
        </w:rPr>
      </w:pPr>
    </w:p>
    <w:p w:rsidR="00E612F8" w:rsidRPr="008A782C" w:rsidRDefault="008A4106" w:rsidP="008A4106">
      <w:pPr>
        <w:rPr>
          <w:rFonts w:cstheme="minorHAnsi"/>
          <w:b/>
          <w:sz w:val="24"/>
        </w:rPr>
      </w:pPr>
      <w:r w:rsidRPr="008A782C">
        <w:rPr>
          <w:rFonts w:cstheme="minorHAnsi"/>
          <w:b/>
          <w:sz w:val="24"/>
        </w:rPr>
        <w:lastRenderedPageBreak/>
        <w:t>Utility of coagulation assays and reversal of new anticoagulants</w:t>
      </w:r>
      <w:r w:rsidR="00E612F8" w:rsidRPr="008A782C">
        <w:rPr>
          <w:rFonts w:cstheme="minorHAnsi"/>
          <w:b/>
          <w:sz w:val="24"/>
        </w:rPr>
        <w:t>:</w:t>
      </w:r>
    </w:p>
    <w:tbl>
      <w:tblPr>
        <w:tblStyle w:val="TableGrid"/>
        <w:tblW w:w="10190" w:type="dxa"/>
        <w:tblLook w:val="04A0"/>
      </w:tblPr>
      <w:tblGrid>
        <w:gridCol w:w="2381"/>
        <w:gridCol w:w="2358"/>
        <w:gridCol w:w="2719"/>
        <w:gridCol w:w="2732"/>
      </w:tblGrid>
      <w:tr w:rsidR="007A5F0C" w:rsidTr="007A5F0C">
        <w:trPr>
          <w:trHeight w:val="134"/>
        </w:trPr>
        <w:tc>
          <w:tcPr>
            <w:tcW w:w="2381" w:type="dxa"/>
          </w:tcPr>
          <w:p w:rsidR="007A5F0C" w:rsidRPr="007A5F0C" w:rsidRDefault="007A5F0C" w:rsidP="008A4106">
            <w:pPr>
              <w:rPr>
                <w:rFonts w:cstheme="minorHAnsi"/>
                <w:b/>
                <w:sz w:val="24"/>
              </w:rPr>
            </w:pPr>
            <w:r w:rsidRPr="007A5F0C">
              <w:rPr>
                <w:rFonts w:cstheme="minorHAnsi"/>
                <w:b/>
                <w:sz w:val="24"/>
              </w:rPr>
              <w:t>ANTICOAGULANTS</w:t>
            </w:r>
          </w:p>
        </w:tc>
        <w:tc>
          <w:tcPr>
            <w:tcW w:w="2358" w:type="dxa"/>
          </w:tcPr>
          <w:p w:rsidR="007A5F0C" w:rsidRPr="008A782C" w:rsidRDefault="007A5F0C" w:rsidP="008A782C">
            <w:pPr>
              <w:rPr>
                <w:rFonts w:cstheme="minorHAnsi"/>
                <w:b/>
                <w:sz w:val="24"/>
              </w:rPr>
            </w:pPr>
            <w:proofErr w:type="spellStart"/>
            <w:r w:rsidRPr="008A782C">
              <w:rPr>
                <w:rFonts w:cstheme="minorHAnsi"/>
                <w:b/>
                <w:sz w:val="24"/>
              </w:rPr>
              <w:t>Dabigatran</w:t>
            </w:r>
            <w:proofErr w:type="spellEnd"/>
          </w:p>
        </w:tc>
        <w:tc>
          <w:tcPr>
            <w:tcW w:w="2719" w:type="dxa"/>
          </w:tcPr>
          <w:p w:rsidR="007A5F0C" w:rsidRPr="008A782C" w:rsidRDefault="007A5F0C" w:rsidP="008A4106">
            <w:pPr>
              <w:rPr>
                <w:rFonts w:cstheme="minorHAnsi"/>
                <w:b/>
                <w:sz w:val="24"/>
              </w:rPr>
            </w:pPr>
            <w:proofErr w:type="spellStart"/>
            <w:r w:rsidRPr="008A782C">
              <w:rPr>
                <w:rFonts w:cstheme="minorHAnsi"/>
                <w:b/>
                <w:sz w:val="24"/>
              </w:rPr>
              <w:t>Rivaroxaban</w:t>
            </w:r>
            <w:proofErr w:type="spellEnd"/>
          </w:p>
        </w:tc>
        <w:tc>
          <w:tcPr>
            <w:tcW w:w="2732" w:type="dxa"/>
          </w:tcPr>
          <w:p w:rsidR="007A5F0C" w:rsidRPr="008A782C" w:rsidRDefault="007A5F0C" w:rsidP="008A4106">
            <w:pPr>
              <w:rPr>
                <w:rFonts w:cstheme="minorHAnsi"/>
                <w:b/>
                <w:sz w:val="24"/>
              </w:rPr>
            </w:pPr>
            <w:proofErr w:type="spellStart"/>
            <w:r w:rsidRPr="008A782C">
              <w:rPr>
                <w:rFonts w:cstheme="minorHAnsi"/>
                <w:b/>
                <w:sz w:val="24"/>
              </w:rPr>
              <w:t>Apixaban</w:t>
            </w:r>
            <w:proofErr w:type="spellEnd"/>
          </w:p>
        </w:tc>
      </w:tr>
      <w:tr w:rsidR="007A5F0C" w:rsidTr="007A5F0C">
        <w:trPr>
          <w:trHeight w:val="134"/>
        </w:trPr>
        <w:tc>
          <w:tcPr>
            <w:tcW w:w="2381" w:type="dxa"/>
          </w:tcPr>
          <w:p w:rsidR="007A5F0C" w:rsidRDefault="007A5F0C" w:rsidP="008A782C">
            <w:pPr>
              <w:rPr>
                <w:rFonts w:cstheme="minorHAnsi"/>
                <w:sz w:val="24"/>
              </w:rPr>
            </w:pPr>
          </w:p>
          <w:p w:rsidR="007A5F0C" w:rsidRDefault="007A5F0C" w:rsidP="008A782C">
            <w:pPr>
              <w:rPr>
                <w:rFonts w:cstheme="minorHAnsi"/>
                <w:sz w:val="24"/>
              </w:rPr>
            </w:pPr>
          </w:p>
          <w:p w:rsidR="007A5F0C" w:rsidRDefault="007A5F0C" w:rsidP="008A782C">
            <w:pPr>
              <w:rPr>
                <w:rFonts w:cstheme="minorHAnsi"/>
                <w:sz w:val="24"/>
              </w:rPr>
            </w:pPr>
          </w:p>
          <w:p w:rsidR="007A5F0C" w:rsidRPr="008A782C" w:rsidRDefault="007A5F0C" w:rsidP="008A782C">
            <w:pPr>
              <w:rPr>
                <w:rFonts w:cstheme="minorHAnsi"/>
                <w:sz w:val="24"/>
              </w:rPr>
            </w:pPr>
            <w:r w:rsidRPr="008A782C">
              <w:rPr>
                <w:rFonts w:cstheme="minorHAnsi"/>
                <w:sz w:val="24"/>
              </w:rPr>
              <w:t>Recommended</w:t>
            </w:r>
          </w:p>
          <w:p w:rsidR="007A5F0C" w:rsidRDefault="007A5F0C" w:rsidP="008A782C">
            <w:pPr>
              <w:rPr>
                <w:rFonts w:cstheme="minorHAnsi"/>
                <w:sz w:val="24"/>
              </w:rPr>
            </w:pPr>
            <w:r w:rsidRPr="008A782C">
              <w:rPr>
                <w:rFonts w:cstheme="minorHAnsi"/>
                <w:sz w:val="24"/>
              </w:rPr>
              <w:t>coagulation assay</w:t>
            </w:r>
          </w:p>
        </w:tc>
        <w:tc>
          <w:tcPr>
            <w:tcW w:w="2358" w:type="dxa"/>
          </w:tcPr>
          <w:p w:rsidR="007A5F0C" w:rsidRPr="008A782C" w:rsidRDefault="00182C95" w:rsidP="008A782C">
            <w:pPr>
              <w:rPr>
                <w:rFonts w:cstheme="minorHAnsi"/>
                <w:sz w:val="24"/>
              </w:rPr>
            </w:pPr>
            <w:r>
              <w:rPr>
                <w:rFonts w:cstheme="minorHAnsi"/>
                <w:sz w:val="24"/>
              </w:rPr>
              <w:t xml:space="preserve">- </w:t>
            </w:r>
            <w:r w:rsidR="007A5F0C" w:rsidRPr="008A782C">
              <w:rPr>
                <w:rFonts w:cstheme="minorHAnsi"/>
                <w:sz w:val="24"/>
              </w:rPr>
              <w:t>Dilute TT, also called TCT—sensitive</w:t>
            </w:r>
            <w:r w:rsidR="007A5F0C">
              <w:rPr>
                <w:rFonts w:cstheme="minorHAnsi"/>
                <w:sz w:val="24"/>
              </w:rPr>
              <w:t>.</w:t>
            </w:r>
          </w:p>
          <w:p w:rsidR="007A5F0C" w:rsidRPr="008A782C" w:rsidRDefault="00182C95" w:rsidP="008A782C">
            <w:pPr>
              <w:rPr>
                <w:rFonts w:cstheme="minorHAnsi"/>
                <w:sz w:val="24"/>
              </w:rPr>
            </w:pPr>
            <w:r>
              <w:rPr>
                <w:rFonts w:cstheme="minorHAnsi"/>
                <w:sz w:val="24"/>
              </w:rPr>
              <w:t xml:space="preserve">- </w:t>
            </w:r>
            <w:proofErr w:type="spellStart"/>
            <w:proofErr w:type="gramStart"/>
            <w:r w:rsidR="007A5F0C" w:rsidRPr="008A782C">
              <w:rPr>
                <w:rFonts w:cstheme="minorHAnsi"/>
                <w:sz w:val="24"/>
              </w:rPr>
              <w:t>aPTT</w:t>
            </w:r>
            <w:proofErr w:type="spellEnd"/>
            <w:r w:rsidR="007A5F0C" w:rsidRPr="008A782C">
              <w:rPr>
                <w:rFonts w:cstheme="minorHAnsi"/>
                <w:sz w:val="24"/>
              </w:rPr>
              <w:t>—</w:t>
            </w:r>
            <w:proofErr w:type="gramEnd"/>
            <w:r w:rsidR="007A5F0C" w:rsidRPr="008A782C">
              <w:rPr>
                <w:rFonts w:cstheme="minorHAnsi"/>
                <w:sz w:val="24"/>
              </w:rPr>
              <w:t xml:space="preserve">sensitive (relationship </w:t>
            </w:r>
            <w:proofErr w:type="spellStart"/>
            <w:r w:rsidR="007A5F0C" w:rsidRPr="008A782C">
              <w:rPr>
                <w:rFonts w:cstheme="minorHAnsi"/>
                <w:sz w:val="24"/>
              </w:rPr>
              <w:t>notlinear</w:t>
            </w:r>
            <w:proofErr w:type="spellEnd"/>
            <w:r w:rsidR="007A5F0C" w:rsidRPr="008A782C">
              <w:rPr>
                <w:rFonts w:cstheme="minorHAnsi"/>
                <w:sz w:val="24"/>
              </w:rPr>
              <w:t>) and readily available</w:t>
            </w:r>
            <w:r w:rsidR="007A5F0C">
              <w:rPr>
                <w:rFonts w:cstheme="minorHAnsi"/>
                <w:sz w:val="24"/>
              </w:rPr>
              <w:t>.</w:t>
            </w:r>
          </w:p>
          <w:p w:rsidR="007A5F0C" w:rsidRPr="008A782C" w:rsidRDefault="00182C95" w:rsidP="008A782C">
            <w:pPr>
              <w:rPr>
                <w:rFonts w:cstheme="minorHAnsi"/>
                <w:sz w:val="24"/>
              </w:rPr>
            </w:pPr>
            <w:r>
              <w:rPr>
                <w:rFonts w:cstheme="minorHAnsi"/>
                <w:sz w:val="24"/>
              </w:rPr>
              <w:t xml:space="preserve">- </w:t>
            </w:r>
            <w:r w:rsidR="007A5F0C" w:rsidRPr="008A782C">
              <w:rPr>
                <w:rFonts w:cstheme="minorHAnsi"/>
                <w:sz w:val="24"/>
              </w:rPr>
              <w:t>ECT—sensitive but not readily</w:t>
            </w:r>
          </w:p>
          <w:p w:rsidR="007A5F0C" w:rsidRPr="008A782C" w:rsidRDefault="007A5F0C" w:rsidP="008A782C">
            <w:pPr>
              <w:rPr>
                <w:rFonts w:cstheme="minorHAnsi"/>
                <w:sz w:val="24"/>
              </w:rPr>
            </w:pPr>
            <w:r w:rsidRPr="008A782C">
              <w:rPr>
                <w:rFonts w:cstheme="minorHAnsi"/>
                <w:sz w:val="24"/>
              </w:rPr>
              <w:t>Available</w:t>
            </w:r>
            <w:r>
              <w:rPr>
                <w:rFonts w:cstheme="minorHAnsi"/>
                <w:sz w:val="24"/>
              </w:rPr>
              <w:t>.</w:t>
            </w:r>
          </w:p>
          <w:p w:rsidR="007A5F0C" w:rsidRDefault="00182C95" w:rsidP="008A782C">
            <w:pPr>
              <w:rPr>
                <w:rFonts w:cstheme="minorHAnsi"/>
                <w:sz w:val="24"/>
              </w:rPr>
            </w:pPr>
            <w:r>
              <w:rPr>
                <w:rFonts w:cstheme="minorHAnsi"/>
                <w:sz w:val="24"/>
              </w:rPr>
              <w:t xml:space="preserve">- </w:t>
            </w:r>
            <w:r w:rsidR="007A5F0C" w:rsidRPr="008A782C">
              <w:rPr>
                <w:rFonts w:cstheme="minorHAnsi"/>
                <w:sz w:val="24"/>
              </w:rPr>
              <w:t>Anti-factor II assay</w:t>
            </w:r>
          </w:p>
          <w:p w:rsidR="00182C95" w:rsidRDefault="00182C95" w:rsidP="008A782C">
            <w:pPr>
              <w:rPr>
                <w:rFonts w:cstheme="minorHAnsi"/>
                <w:sz w:val="24"/>
              </w:rPr>
            </w:pPr>
          </w:p>
        </w:tc>
        <w:tc>
          <w:tcPr>
            <w:tcW w:w="2719" w:type="dxa"/>
          </w:tcPr>
          <w:p w:rsidR="007A5F0C" w:rsidRPr="008A782C" w:rsidRDefault="007A5F0C" w:rsidP="008A782C">
            <w:pPr>
              <w:rPr>
                <w:rFonts w:cstheme="minorHAnsi"/>
                <w:sz w:val="24"/>
              </w:rPr>
            </w:pPr>
            <w:r w:rsidRPr="008A782C">
              <w:rPr>
                <w:rFonts w:cstheme="minorHAnsi"/>
                <w:sz w:val="24"/>
              </w:rPr>
              <w:t>PT</w:t>
            </w:r>
          </w:p>
          <w:p w:rsidR="007A5F0C" w:rsidRDefault="007A5F0C" w:rsidP="008A782C">
            <w:pPr>
              <w:rPr>
                <w:rFonts w:cstheme="minorHAnsi"/>
                <w:sz w:val="24"/>
              </w:rPr>
            </w:pPr>
            <w:r w:rsidRPr="008A782C">
              <w:rPr>
                <w:rFonts w:cstheme="minorHAnsi"/>
                <w:sz w:val="24"/>
              </w:rPr>
              <w:t>Anti-</w:t>
            </w:r>
            <w:proofErr w:type="spellStart"/>
            <w:r w:rsidRPr="008A782C">
              <w:rPr>
                <w:rFonts w:cstheme="minorHAnsi"/>
                <w:sz w:val="24"/>
              </w:rPr>
              <w:t>Xa</w:t>
            </w:r>
            <w:proofErr w:type="spellEnd"/>
            <w:r w:rsidRPr="008A782C">
              <w:rPr>
                <w:rFonts w:cstheme="minorHAnsi"/>
                <w:sz w:val="24"/>
              </w:rPr>
              <w:t xml:space="preserve"> assay</w:t>
            </w:r>
          </w:p>
        </w:tc>
        <w:tc>
          <w:tcPr>
            <w:tcW w:w="2732" w:type="dxa"/>
          </w:tcPr>
          <w:p w:rsidR="007A5F0C" w:rsidRPr="008A782C" w:rsidRDefault="007A5F0C" w:rsidP="008A782C">
            <w:pPr>
              <w:rPr>
                <w:rFonts w:cstheme="minorHAnsi"/>
                <w:sz w:val="24"/>
              </w:rPr>
            </w:pPr>
            <w:r w:rsidRPr="008A782C">
              <w:rPr>
                <w:rFonts w:cstheme="minorHAnsi"/>
                <w:sz w:val="24"/>
              </w:rPr>
              <w:t>Anti-</w:t>
            </w:r>
            <w:proofErr w:type="spellStart"/>
            <w:r w:rsidRPr="008A782C">
              <w:rPr>
                <w:rFonts w:cstheme="minorHAnsi"/>
                <w:sz w:val="24"/>
              </w:rPr>
              <w:t>Xa</w:t>
            </w:r>
            <w:proofErr w:type="spellEnd"/>
            <w:r w:rsidRPr="008A782C">
              <w:rPr>
                <w:rFonts w:cstheme="minorHAnsi"/>
                <w:sz w:val="24"/>
              </w:rPr>
              <w:t xml:space="preserve"> assay</w:t>
            </w:r>
          </w:p>
          <w:p w:rsidR="007A5F0C" w:rsidRDefault="007A5F0C" w:rsidP="008A782C">
            <w:pPr>
              <w:rPr>
                <w:rFonts w:cstheme="minorHAnsi"/>
                <w:sz w:val="24"/>
              </w:rPr>
            </w:pPr>
            <w:r w:rsidRPr="008A782C">
              <w:rPr>
                <w:rFonts w:cstheme="minorHAnsi"/>
                <w:sz w:val="24"/>
              </w:rPr>
              <w:t>Dilute PT</w:t>
            </w:r>
          </w:p>
        </w:tc>
      </w:tr>
      <w:tr w:rsidR="007A5F0C" w:rsidTr="007A5F0C">
        <w:trPr>
          <w:trHeight w:val="134"/>
        </w:trPr>
        <w:tc>
          <w:tcPr>
            <w:tcW w:w="2381" w:type="dxa"/>
          </w:tcPr>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p>
          <w:p w:rsidR="007A5F0C" w:rsidRDefault="007A5F0C" w:rsidP="008A4106">
            <w:pPr>
              <w:rPr>
                <w:rFonts w:cstheme="minorHAnsi"/>
                <w:sz w:val="24"/>
              </w:rPr>
            </w:pPr>
            <w:r w:rsidRPr="008A782C">
              <w:rPr>
                <w:rFonts w:cstheme="minorHAnsi"/>
                <w:sz w:val="24"/>
              </w:rPr>
              <w:t>Reversal</w:t>
            </w:r>
          </w:p>
        </w:tc>
        <w:tc>
          <w:tcPr>
            <w:tcW w:w="2358" w:type="dxa"/>
          </w:tcPr>
          <w:p w:rsidR="00182C95" w:rsidRDefault="00182C95" w:rsidP="008A782C">
            <w:pPr>
              <w:rPr>
                <w:rFonts w:cstheme="minorHAnsi"/>
                <w:sz w:val="24"/>
              </w:rPr>
            </w:pPr>
          </w:p>
          <w:p w:rsidR="007A5F0C" w:rsidRPr="008A782C" w:rsidRDefault="007A5F0C" w:rsidP="008A782C">
            <w:pPr>
              <w:rPr>
                <w:rFonts w:cstheme="minorHAnsi"/>
                <w:sz w:val="24"/>
              </w:rPr>
            </w:pPr>
            <w:r w:rsidRPr="008A782C">
              <w:rPr>
                <w:rFonts w:cstheme="minorHAnsi"/>
                <w:sz w:val="24"/>
              </w:rPr>
              <w:t>Dialysis</w:t>
            </w:r>
          </w:p>
          <w:p w:rsidR="007A5F0C" w:rsidRPr="008A782C" w:rsidRDefault="007A5F0C" w:rsidP="008A782C">
            <w:pPr>
              <w:rPr>
                <w:rFonts w:cstheme="minorHAnsi"/>
                <w:sz w:val="24"/>
              </w:rPr>
            </w:pPr>
            <w:r w:rsidRPr="008A782C">
              <w:rPr>
                <w:rFonts w:cstheme="minorHAnsi"/>
                <w:sz w:val="24"/>
              </w:rPr>
              <w:t>Activated charcoal (within 1–2 h of</w:t>
            </w:r>
          </w:p>
          <w:p w:rsidR="007A5F0C" w:rsidRPr="008A782C" w:rsidRDefault="007A5F0C" w:rsidP="008A782C">
            <w:pPr>
              <w:rPr>
                <w:rFonts w:cstheme="minorHAnsi"/>
                <w:sz w:val="24"/>
              </w:rPr>
            </w:pPr>
            <w:r w:rsidRPr="008A782C">
              <w:rPr>
                <w:rFonts w:cstheme="minorHAnsi"/>
                <w:sz w:val="24"/>
              </w:rPr>
              <w:t>ingestion)</w:t>
            </w:r>
          </w:p>
          <w:p w:rsidR="007A5F0C" w:rsidRDefault="007A5F0C" w:rsidP="006F036D">
            <w:pPr>
              <w:rPr>
                <w:rFonts w:cstheme="minorHAnsi"/>
                <w:sz w:val="24"/>
              </w:rPr>
            </w:pPr>
          </w:p>
          <w:p w:rsidR="007A5F0C" w:rsidRDefault="007A5F0C" w:rsidP="006F036D">
            <w:pPr>
              <w:rPr>
                <w:rFonts w:cstheme="minorHAnsi"/>
                <w:sz w:val="24"/>
              </w:rPr>
            </w:pPr>
            <w:r w:rsidRPr="006F036D">
              <w:rPr>
                <w:rFonts w:cstheme="minorHAnsi"/>
                <w:sz w:val="24"/>
              </w:rPr>
              <w:t xml:space="preserve">For life-threatening bleeding or emergency surgery, consider </w:t>
            </w:r>
            <w:proofErr w:type="spellStart"/>
            <w:r w:rsidR="001C6913">
              <w:rPr>
                <w:rFonts w:cstheme="minorHAnsi"/>
                <w:sz w:val="24"/>
              </w:rPr>
              <w:t>I</w:t>
            </w:r>
            <w:r w:rsidRPr="006F036D">
              <w:rPr>
                <w:rFonts w:cstheme="minorHAnsi"/>
                <w:sz w:val="24"/>
              </w:rPr>
              <w:t>darucizumab</w:t>
            </w:r>
            <w:proofErr w:type="spellEnd"/>
            <w:r w:rsidRPr="006F036D">
              <w:rPr>
                <w:rFonts w:cstheme="minorHAnsi"/>
                <w:sz w:val="24"/>
              </w:rPr>
              <w:t xml:space="preserve"> (</w:t>
            </w:r>
            <w:proofErr w:type="spellStart"/>
            <w:r w:rsidRPr="006F036D">
              <w:rPr>
                <w:rFonts w:cstheme="minorHAnsi"/>
                <w:sz w:val="24"/>
              </w:rPr>
              <w:t>Praxbind</w:t>
            </w:r>
            <w:proofErr w:type="spellEnd"/>
            <w:r w:rsidRPr="006F036D">
              <w:rPr>
                <w:rFonts w:cstheme="minorHAnsi"/>
                <w:sz w:val="24"/>
              </w:rPr>
              <w:t>) 5gm IV</w:t>
            </w:r>
          </w:p>
          <w:p w:rsidR="007A5F0C" w:rsidRPr="006F036D" w:rsidRDefault="007A5F0C" w:rsidP="006F036D">
            <w:pPr>
              <w:rPr>
                <w:rFonts w:cstheme="minorHAnsi"/>
                <w:sz w:val="24"/>
              </w:rPr>
            </w:pPr>
          </w:p>
          <w:p w:rsidR="007A5F0C" w:rsidRPr="006F036D" w:rsidRDefault="007A5F0C" w:rsidP="006F036D">
            <w:pPr>
              <w:rPr>
                <w:rFonts w:cstheme="minorHAnsi"/>
                <w:sz w:val="24"/>
              </w:rPr>
            </w:pPr>
          </w:p>
          <w:p w:rsidR="007A5F0C" w:rsidRPr="006F036D" w:rsidRDefault="007A5F0C" w:rsidP="006F036D">
            <w:pPr>
              <w:rPr>
                <w:rFonts w:cstheme="minorHAnsi"/>
                <w:sz w:val="24"/>
              </w:rPr>
            </w:pPr>
          </w:p>
          <w:p w:rsidR="007A5F0C" w:rsidRDefault="007A5F0C" w:rsidP="00182C95">
            <w:pPr>
              <w:rPr>
                <w:rFonts w:cstheme="minorHAnsi"/>
                <w:sz w:val="24"/>
              </w:rPr>
            </w:pPr>
            <w:r w:rsidRPr="006F036D">
              <w:rPr>
                <w:rFonts w:cstheme="minorHAnsi"/>
                <w:sz w:val="24"/>
              </w:rPr>
              <w:t xml:space="preserve"> .</w:t>
            </w:r>
          </w:p>
        </w:tc>
        <w:tc>
          <w:tcPr>
            <w:tcW w:w="2719" w:type="dxa"/>
          </w:tcPr>
          <w:p w:rsidR="00182C95" w:rsidRDefault="00182C95" w:rsidP="008A782C">
            <w:pPr>
              <w:rPr>
                <w:rFonts w:cstheme="minorHAnsi"/>
                <w:sz w:val="24"/>
              </w:rPr>
            </w:pPr>
          </w:p>
          <w:p w:rsidR="007A5F0C" w:rsidRPr="008A782C" w:rsidRDefault="007A5F0C" w:rsidP="008A782C">
            <w:pPr>
              <w:rPr>
                <w:rFonts w:cstheme="minorHAnsi"/>
                <w:sz w:val="24"/>
              </w:rPr>
            </w:pPr>
            <w:r w:rsidRPr="008A782C">
              <w:rPr>
                <w:rFonts w:cstheme="minorHAnsi"/>
                <w:sz w:val="24"/>
              </w:rPr>
              <w:t>Activated</w:t>
            </w:r>
          </w:p>
          <w:p w:rsidR="007A5F0C" w:rsidRPr="008A782C" w:rsidRDefault="007A5F0C" w:rsidP="008A782C">
            <w:pPr>
              <w:rPr>
                <w:rFonts w:cstheme="minorHAnsi"/>
                <w:sz w:val="24"/>
              </w:rPr>
            </w:pPr>
            <w:r w:rsidRPr="008A782C">
              <w:rPr>
                <w:rFonts w:cstheme="minorHAnsi"/>
                <w:sz w:val="24"/>
              </w:rPr>
              <w:t>charcoal (within 8</w:t>
            </w:r>
          </w:p>
          <w:p w:rsidR="007A5F0C" w:rsidRPr="008A782C" w:rsidRDefault="007A5F0C" w:rsidP="008A782C">
            <w:pPr>
              <w:rPr>
                <w:rFonts w:cstheme="minorHAnsi"/>
                <w:sz w:val="24"/>
              </w:rPr>
            </w:pPr>
            <w:r w:rsidRPr="008A782C">
              <w:rPr>
                <w:rFonts w:cstheme="minorHAnsi"/>
                <w:sz w:val="24"/>
              </w:rPr>
              <w:t>h of ingestion)</w:t>
            </w:r>
          </w:p>
          <w:p w:rsidR="007A5F0C" w:rsidRDefault="007A5F0C" w:rsidP="008A782C">
            <w:pPr>
              <w:rPr>
                <w:rFonts w:cstheme="minorHAnsi"/>
                <w:sz w:val="24"/>
              </w:rPr>
            </w:pPr>
          </w:p>
          <w:p w:rsidR="007A5F0C" w:rsidRDefault="007A5F0C" w:rsidP="006F036D">
            <w:pPr>
              <w:pStyle w:val="Default"/>
              <w:rPr>
                <w:color w:val="auto"/>
              </w:rPr>
            </w:pPr>
          </w:p>
          <w:p w:rsidR="007A5F0C" w:rsidRPr="006F036D" w:rsidRDefault="007A5F0C" w:rsidP="006F036D">
            <w:pPr>
              <w:pStyle w:val="Default"/>
            </w:pPr>
            <w:r w:rsidRPr="006F036D">
              <w:rPr>
                <w:iCs/>
              </w:rPr>
              <w:t>Consider 4-factor PCC (</w:t>
            </w:r>
            <w:proofErr w:type="spellStart"/>
            <w:r w:rsidRPr="006F036D">
              <w:rPr>
                <w:iCs/>
              </w:rPr>
              <w:t>KCentra</w:t>
            </w:r>
            <w:proofErr w:type="spellEnd"/>
            <w:r w:rsidRPr="006F036D">
              <w:rPr>
                <w:iCs/>
              </w:rPr>
              <w:t xml:space="preserve">) 50 units/kg (maximum 5000 units) </w:t>
            </w:r>
          </w:p>
          <w:p w:rsidR="007A5F0C" w:rsidRPr="006F036D" w:rsidRDefault="007A5F0C" w:rsidP="006F036D">
            <w:pPr>
              <w:pStyle w:val="Default"/>
            </w:pPr>
          </w:p>
          <w:p w:rsidR="007A5F0C" w:rsidRDefault="007A5F0C" w:rsidP="006F036D">
            <w:pPr>
              <w:pStyle w:val="Default"/>
              <w:rPr>
                <w:i/>
                <w:iCs/>
              </w:rPr>
            </w:pPr>
            <w:r w:rsidRPr="006F036D">
              <w:rPr>
                <w:i/>
                <w:iCs/>
              </w:rPr>
              <w:t xml:space="preserve">(25 unit/kg, maximum 2500 units for </w:t>
            </w:r>
            <w:proofErr w:type="spellStart"/>
            <w:r w:rsidRPr="006F036D">
              <w:rPr>
                <w:i/>
                <w:iCs/>
              </w:rPr>
              <w:t>intraparenchymal</w:t>
            </w:r>
            <w:proofErr w:type="spellEnd"/>
            <w:r w:rsidRPr="006F036D">
              <w:rPr>
                <w:i/>
                <w:iCs/>
              </w:rPr>
              <w:t xml:space="preserve"> hemorrhage) </w:t>
            </w:r>
          </w:p>
          <w:p w:rsidR="007A5F0C" w:rsidRPr="006F036D" w:rsidRDefault="007A5F0C" w:rsidP="006F036D">
            <w:pPr>
              <w:pStyle w:val="Default"/>
              <w:rPr>
                <w:i/>
              </w:rPr>
            </w:pPr>
          </w:p>
          <w:p w:rsidR="007A5F0C" w:rsidRDefault="007A5F0C" w:rsidP="006F036D">
            <w:pPr>
              <w:rPr>
                <w:rFonts w:cstheme="minorHAnsi"/>
                <w:sz w:val="24"/>
              </w:rPr>
            </w:pPr>
            <w:r w:rsidRPr="006F036D">
              <w:rPr>
                <w:bCs/>
                <w:sz w:val="24"/>
                <w:szCs w:val="24"/>
              </w:rPr>
              <w:t>NOTE:</w:t>
            </w:r>
            <w:r w:rsidRPr="006F036D">
              <w:rPr>
                <w:sz w:val="24"/>
                <w:szCs w:val="24"/>
              </w:rPr>
              <w:t>PCC may partially correct PT/</w:t>
            </w:r>
            <w:proofErr w:type="spellStart"/>
            <w:r w:rsidRPr="006F036D">
              <w:rPr>
                <w:sz w:val="24"/>
                <w:szCs w:val="24"/>
              </w:rPr>
              <w:t>aPTT</w:t>
            </w:r>
            <w:proofErr w:type="spellEnd"/>
            <w:r w:rsidRPr="006F036D">
              <w:rPr>
                <w:sz w:val="24"/>
                <w:szCs w:val="24"/>
              </w:rPr>
              <w:t xml:space="preserve"> but will not affect anti-factor </w:t>
            </w:r>
            <w:proofErr w:type="spellStart"/>
            <w:r w:rsidRPr="006F036D">
              <w:rPr>
                <w:sz w:val="24"/>
                <w:szCs w:val="24"/>
              </w:rPr>
              <w:t>Xa</w:t>
            </w:r>
            <w:proofErr w:type="spellEnd"/>
            <w:r w:rsidR="00F82D03">
              <w:rPr>
                <w:sz w:val="24"/>
                <w:szCs w:val="24"/>
              </w:rPr>
              <w:t xml:space="preserve"> </w:t>
            </w:r>
            <w:r w:rsidRPr="006F036D">
              <w:rPr>
                <w:sz w:val="24"/>
                <w:szCs w:val="24"/>
              </w:rPr>
              <w:t>activity and will not increase drug clearance; correlation of shortening PT/</w:t>
            </w:r>
            <w:proofErr w:type="spellStart"/>
            <w:r w:rsidRPr="006F036D">
              <w:rPr>
                <w:sz w:val="24"/>
                <w:szCs w:val="24"/>
              </w:rPr>
              <w:t>aPTT</w:t>
            </w:r>
            <w:proofErr w:type="spellEnd"/>
            <w:r w:rsidRPr="006F036D">
              <w:rPr>
                <w:sz w:val="24"/>
                <w:szCs w:val="24"/>
              </w:rPr>
              <w:t xml:space="preserve"> with reduction in bleeding risk is unknown </w:t>
            </w:r>
          </w:p>
        </w:tc>
        <w:tc>
          <w:tcPr>
            <w:tcW w:w="2732" w:type="dxa"/>
          </w:tcPr>
          <w:p w:rsidR="00182C95" w:rsidRDefault="00182C95" w:rsidP="008A782C">
            <w:pPr>
              <w:rPr>
                <w:rFonts w:cstheme="minorHAnsi"/>
                <w:sz w:val="24"/>
              </w:rPr>
            </w:pPr>
          </w:p>
          <w:p w:rsidR="007A5F0C" w:rsidRPr="008A782C" w:rsidRDefault="007A5F0C" w:rsidP="008A782C">
            <w:pPr>
              <w:rPr>
                <w:rFonts w:cstheme="minorHAnsi"/>
                <w:sz w:val="24"/>
              </w:rPr>
            </w:pPr>
            <w:r w:rsidRPr="008A782C">
              <w:rPr>
                <w:rFonts w:cstheme="minorHAnsi"/>
                <w:sz w:val="24"/>
              </w:rPr>
              <w:t>Activated</w:t>
            </w:r>
          </w:p>
          <w:p w:rsidR="007A5F0C" w:rsidRPr="008A782C" w:rsidRDefault="007A5F0C" w:rsidP="008A782C">
            <w:pPr>
              <w:rPr>
                <w:rFonts w:cstheme="minorHAnsi"/>
                <w:sz w:val="24"/>
              </w:rPr>
            </w:pPr>
            <w:r w:rsidRPr="008A782C">
              <w:rPr>
                <w:rFonts w:cstheme="minorHAnsi"/>
                <w:sz w:val="24"/>
              </w:rPr>
              <w:t>charcoal</w:t>
            </w:r>
          </w:p>
          <w:p w:rsidR="007A5F0C" w:rsidRPr="008A782C" w:rsidRDefault="007A5F0C" w:rsidP="008A782C">
            <w:pPr>
              <w:rPr>
                <w:rFonts w:cstheme="minorHAnsi"/>
                <w:sz w:val="24"/>
              </w:rPr>
            </w:pPr>
            <w:r w:rsidRPr="008A782C">
              <w:rPr>
                <w:rFonts w:cstheme="minorHAnsi"/>
                <w:sz w:val="24"/>
              </w:rPr>
              <w:t>(within 3 h of</w:t>
            </w:r>
          </w:p>
          <w:p w:rsidR="007A5F0C" w:rsidRDefault="007A5F0C" w:rsidP="008A782C">
            <w:pPr>
              <w:rPr>
                <w:rFonts w:cstheme="minorHAnsi"/>
                <w:sz w:val="24"/>
              </w:rPr>
            </w:pPr>
            <w:r w:rsidRPr="008A782C">
              <w:rPr>
                <w:rFonts w:cstheme="minorHAnsi"/>
                <w:sz w:val="24"/>
              </w:rPr>
              <w:t>ingestion)</w:t>
            </w:r>
          </w:p>
          <w:p w:rsidR="007A5F0C" w:rsidRDefault="007A5F0C" w:rsidP="006F036D">
            <w:pPr>
              <w:rPr>
                <w:rFonts w:cstheme="minorHAnsi"/>
                <w:sz w:val="24"/>
              </w:rPr>
            </w:pPr>
          </w:p>
          <w:p w:rsidR="007A5F0C" w:rsidRPr="006F036D" w:rsidRDefault="007A5F0C" w:rsidP="006F036D">
            <w:pPr>
              <w:rPr>
                <w:rFonts w:cstheme="minorHAnsi"/>
                <w:sz w:val="24"/>
              </w:rPr>
            </w:pPr>
            <w:r w:rsidRPr="006F036D">
              <w:rPr>
                <w:rFonts w:cstheme="minorHAnsi"/>
                <w:sz w:val="24"/>
              </w:rPr>
              <w:t>Consider 4-factor PCC (</w:t>
            </w:r>
            <w:proofErr w:type="spellStart"/>
            <w:r w:rsidRPr="006F036D">
              <w:rPr>
                <w:rFonts w:cstheme="minorHAnsi"/>
                <w:sz w:val="24"/>
              </w:rPr>
              <w:t>KCentra</w:t>
            </w:r>
            <w:proofErr w:type="spellEnd"/>
            <w:r w:rsidRPr="006F036D">
              <w:rPr>
                <w:rFonts w:cstheme="minorHAnsi"/>
                <w:sz w:val="24"/>
              </w:rPr>
              <w:t>) 50 units/kg (maximum 5000 units)</w:t>
            </w:r>
          </w:p>
          <w:p w:rsidR="007A5F0C" w:rsidRDefault="007A5F0C" w:rsidP="006F036D">
            <w:pPr>
              <w:rPr>
                <w:rFonts w:cstheme="minorHAnsi"/>
                <w:sz w:val="24"/>
              </w:rPr>
            </w:pPr>
            <w:r w:rsidRPr="006F036D">
              <w:rPr>
                <w:rFonts w:cstheme="minorHAnsi"/>
                <w:sz w:val="24"/>
              </w:rPr>
              <w:t xml:space="preserve">(25 unit/kg, maximum 2500 units for </w:t>
            </w:r>
            <w:proofErr w:type="spellStart"/>
            <w:r w:rsidRPr="006F036D">
              <w:rPr>
                <w:rFonts w:cstheme="minorHAnsi"/>
                <w:sz w:val="24"/>
              </w:rPr>
              <w:t>intraparenchymal</w:t>
            </w:r>
            <w:proofErr w:type="spellEnd"/>
            <w:r w:rsidRPr="006F036D">
              <w:rPr>
                <w:rFonts w:cstheme="minorHAnsi"/>
                <w:sz w:val="24"/>
              </w:rPr>
              <w:t xml:space="preserve"> hemorrhage)</w:t>
            </w:r>
          </w:p>
          <w:p w:rsidR="007A5F0C" w:rsidRPr="006F036D" w:rsidRDefault="007A5F0C" w:rsidP="006F036D">
            <w:pPr>
              <w:rPr>
                <w:rFonts w:cstheme="minorHAnsi"/>
                <w:sz w:val="24"/>
              </w:rPr>
            </w:pPr>
          </w:p>
          <w:p w:rsidR="007A5F0C" w:rsidRDefault="007A5F0C" w:rsidP="006F036D">
            <w:pPr>
              <w:rPr>
                <w:rFonts w:cstheme="minorHAnsi"/>
                <w:sz w:val="24"/>
              </w:rPr>
            </w:pPr>
            <w:r w:rsidRPr="006F036D">
              <w:rPr>
                <w:rFonts w:cstheme="minorHAnsi"/>
                <w:sz w:val="24"/>
              </w:rPr>
              <w:t>NOTE: PCC may partially correct PT/</w:t>
            </w:r>
            <w:proofErr w:type="spellStart"/>
            <w:r w:rsidRPr="006F036D">
              <w:rPr>
                <w:rFonts w:cstheme="minorHAnsi"/>
                <w:sz w:val="24"/>
              </w:rPr>
              <w:t>aPTT</w:t>
            </w:r>
            <w:proofErr w:type="spellEnd"/>
            <w:r w:rsidRPr="006F036D">
              <w:rPr>
                <w:rFonts w:cstheme="minorHAnsi"/>
                <w:sz w:val="24"/>
              </w:rPr>
              <w:t xml:space="preserve"> but will not affect anti-factor </w:t>
            </w:r>
            <w:proofErr w:type="spellStart"/>
            <w:r w:rsidRPr="006F036D">
              <w:rPr>
                <w:rFonts w:cstheme="minorHAnsi"/>
                <w:sz w:val="24"/>
              </w:rPr>
              <w:t>Xa</w:t>
            </w:r>
            <w:proofErr w:type="spellEnd"/>
            <w:r w:rsidRPr="006F036D">
              <w:rPr>
                <w:rFonts w:cstheme="minorHAnsi"/>
                <w:sz w:val="24"/>
              </w:rPr>
              <w:t xml:space="preserve"> activity and will not increase drug clearance; correlation of shortening PT/</w:t>
            </w:r>
            <w:proofErr w:type="spellStart"/>
            <w:r w:rsidRPr="006F036D">
              <w:rPr>
                <w:rFonts w:cstheme="minorHAnsi"/>
                <w:sz w:val="24"/>
              </w:rPr>
              <w:t>aPTT</w:t>
            </w:r>
            <w:proofErr w:type="spellEnd"/>
            <w:r w:rsidRPr="006F036D">
              <w:rPr>
                <w:rFonts w:cstheme="minorHAnsi"/>
                <w:sz w:val="24"/>
              </w:rPr>
              <w:t xml:space="preserve"> with reduction in bleeding risk is unknown</w:t>
            </w:r>
            <w:r>
              <w:rPr>
                <w:rFonts w:cstheme="minorHAnsi"/>
                <w:sz w:val="24"/>
              </w:rPr>
              <w:t>.</w:t>
            </w:r>
          </w:p>
        </w:tc>
      </w:tr>
      <w:tr w:rsidR="007A5F0C" w:rsidTr="00B25A49">
        <w:trPr>
          <w:trHeight w:val="279"/>
        </w:trPr>
        <w:tc>
          <w:tcPr>
            <w:tcW w:w="10190" w:type="dxa"/>
            <w:gridSpan w:val="4"/>
          </w:tcPr>
          <w:p w:rsidR="007A5F0C" w:rsidRPr="008A782C" w:rsidRDefault="007A5F0C" w:rsidP="008A782C">
            <w:pPr>
              <w:rPr>
                <w:rFonts w:cstheme="minorHAnsi"/>
                <w:sz w:val="24"/>
              </w:rPr>
            </w:pPr>
          </w:p>
        </w:tc>
      </w:tr>
      <w:tr w:rsidR="007A5F0C" w:rsidTr="007A5F0C">
        <w:trPr>
          <w:trHeight w:val="265"/>
        </w:trPr>
        <w:tc>
          <w:tcPr>
            <w:tcW w:w="2381" w:type="dxa"/>
          </w:tcPr>
          <w:p w:rsidR="007A5F0C" w:rsidRPr="007A5F0C" w:rsidRDefault="007A5F0C" w:rsidP="008A4106">
            <w:pPr>
              <w:rPr>
                <w:rFonts w:cstheme="minorHAnsi"/>
                <w:b/>
                <w:sz w:val="24"/>
              </w:rPr>
            </w:pPr>
            <w:r w:rsidRPr="007A5F0C">
              <w:rPr>
                <w:rFonts w:cstheme="minorHAnsi"/>
                <w:b/>
                <w:sz w:val="24"/>
              </w:rPr>
              <w:t>ANTIPLATELETS</w:t>
            </w:r>
          </w:p>
        </w:tc>
        <w:tc>
          <w:tcPr>
            <w:tcW w:w="2358" w:type="dxa"/>
          </w:tcPr>
          <w:p w:rsidR="007A5F0C" w:rsidRPr="008A782C" w:rsidRDefault="007A5F0C" w:rsidP="00390950">
            <w:pPr>
              <w:rPr>
                <w:rFonts w:cstheme="minorHAnsi"/>
                <w:b/>
                <w:sz w:val="24"/>
              </w:rPr>
            </w:pPr>
            <w:proofErr w:type="spellStart"/>
            <w:r w:rsidRPr="008A782C">
              <w:rPr>
                <w:rFonts w:cstheme="minorHAnsi"/>
                <w:b/>
                <w:sz w:val="24"/>
              </w:rPr>
              <w:t>Prasugrel</w:t>
            </w:r>
            <w:proofErr w:type="spellEnd"/>
          </w:p>
        </w:tc>
        <w:tc>
          <w:tcPr>
            <w:tcW w:w="2719" w:type="dxa"/>
          </w:tcPr>
          <w:p w:rsidR="007A5F0C" w:rsidRPr="008A782C" w:rsidRDefault="007A5F0C" w:rsidP="00390950">
            <w:pPr>
              <w:rPr>
                <w:rFonts w:cstheme="minorHAnsi"/>
                <w:b/>
                <w:sz w:val="24"/>
              </w:rPr>
            </w:pPr>
            <w:proofErr w:type="spellStart"/>
            <w:r w:rsidRPr="008A782C">
              <w:rPr>
                <w:rFonts w:cstheme="minorHAnsi"/>
                <w:b/>
                <w:sz w:val="24"/>
              </w:rPr>
              <w:t>Ticagrelor</w:t>
            </w:r>
            <w:proofErr w:type="spellEnd"/>
          </w:p>
        </w:tc>
        <w:tc>
          <w:tcPr>
            <w:tcW w:w="2732" w:type="dxa"/>
          </w:tcPr>
          <w:p w:rsidR="007A5F0C" w:rsidRPr="008A782C" w:rsidRDefault="007A5F0C" w:rsidP="008A782C">
            <w:pPr>
              <w:rPr>
                <w:rFonts w:cstheme="minorHAnsi"/>
                <w:sz w:val="24"/>
              </w:rPr>
            </w:pPr>
          </w:p>
        </w:tc>
      </w:tr>
      <w:tr w:rsidR="007A5F0C" w:rsidTr="007A5F0C">
        <w:trPr>
          <w:trHeight w:val="2719"/>
        </w:trPr>
        <w:tc>
          <w:tcPr>
            <w:tcW w:w="2381" w:type="dxa"/>
          </w:tcPr>
          <w:p w:rsidR="007A5F0C" w:rsidRPr="008A782C" w:rsidRDefault="007A5F0C" w:rsidP="007A5F0C">
            <w:pPr>
              <w:rPr>
                <w:rFonts w:cstheme="minorHAnsi"/>
                <w:sz w:val="24"/>
              </w:rPr>
            </w:pPr>
            <w:r w:rsidRPr="008A782C">
              <w:rPr>
                <w:rFonts w:cstheme="minorHAnsi"/>
                <w:sz w:val="24"/>
              </w:rPr>
              <w:lastRenderedPageBreak/>
              <w:t>Recommended</w:t>
            </w:r>
          </w:p>
          <w:p w:rsidR="007A5F0C" w:rsidRPr="008A782C" w:rsidRDefault="007A5F0C" w:rsidP="007A5F0C">
            <w:pPr>
              <w:rPr>
                <w:rFonts w:cstheme="minorHAnsi"/>
                <w:sz w:val="24"/>
              </w:rPr>
            </w:pPr>
            <w:r w:rsidRPr="008A782C">
              <w:rPr>
                <w:rFonts w:cstheme="minorHAnsi"/>
                <w:sz w:val="24"/>
              </w:rPr>
              <w:t>coagulation assay</w:t>
            </w:r>
          </w:p>
        </w:tc>
        <w:tc>
          <w:tcPr>
            <w:tcW w:w="2358" w:type="dxa"/>
          </w:tcPr>
          <w:p w:rsidR="007A5F0C" w:rsidRPr="008A782C" w:rsidRDefault="0090721B" w:rsidP="00390950">
            <w:pPr>
              <w:rPr>
                <w:rFonts w:cstheme="minorHAnsi"/>
                <w:sz w:val="24"/>
              </w:rPr>
            </w:pPr>
            <w:r>
              <w:rPr>
                <w:rFonts w:cstheme="minorHAnsi"/>
                <w:sz w:val="24"/>
              </w:rPr>
              <w:t xml:space="preserve">- </w:t>
            </w:r>
            <w:r w:rsidR="007A5F0C" w:rsidRPr="008A782C">
              <w:rPr>
                <w:rFonts w:cstheme="minorHAnsi"/>
                <w:sz w:val="24"/>
              </w:rPr>
              <w:t>P2Y12 assay</w:t>
            </w:r>
            <w:r w:rsidR="007A5F0C">
              <w:rPr>
                <w:rFonts w:cstheme="minorHAnsi"/>
                <w:sz w:val="24"/>
              </w:rPr>
              <w:t>.</w:t>
            </w:r>
          </w:p>
          <w:p w:rsidR="007A5F0C" w:rsidRPr="008A782C" w:rsidRDefault="0090721B" w:rsidP="00390950">
            <w:pPr>
              <w:rPr>
                <w:rFonts w:cstheme="minorHAnsi"/>
                <w:sz w:val="24"/>
              </w:rPr>
            </w:pPr>
            <w:r>
              <w:rPr>
                <w:rFonts w:cstheme="minorHAnsi"/>
                <w:sz w:val="24"/>
              </w:rPr>
              <w:t xml:space="preserve">- </w:t>
            </w:r>
            <w:r w:rsidR="007A5F0C" w:rsidRPr="008A782C">
              <w:rPr>
                <w:rFonts w:cstheme="minorHAnsi"/>
                <w:sz w:val="24"/>
              </w:rPr>
              <w:t>Platelet mapping</w:t>
            </w:r>
          </w:p>
          <w:p w:rsidR="007A5F0C" w:rsidRPr="008A782C" w:rsidRDefault="007A5F0C" w:rsidP="00390950">
            <w:pPr>
              <w:rPr>
                <w:rFonts w:cstheme="minorHAnsi"/>
                <w:sz w:val="24"/>
              </w:rPr>
            </w:pPr>
            <w:proofErr w:type="gramStart"/>
            <w:r w:rsidRPr="008A782C">
              <w:rPr>
                <w:rFonts w:cstheme="minorHAnsi"/>
                <w:sz w:val="24"/>
              </w:rPr>
              <w:t>portion</w:t>
            </w:r>
            <w:proofErr w:type="gramEnd"/>
            <w:r w:rsidRPr="008A782C">
              <w:rPr>
                <w:rFonts w:cstheme="minorHAnsi"/>
                <w:sz w:val="24"/>
              </w:rPr>
              <w:t xml:space="preserve"> of the TEG</w:t>
            </w:r>
            <w:r>
              <w:rPr>
                <w:rFonts w:cstheme="minorHAnsi"/>
                <w:sz w:val="24"/>
              </w:rPr>
              <w:t>.</w:t>
            </w:r>
          </w:p>
          <w:p w:rsidR="007A5F0C" w:rsidRPr="008A782C" w:rsidRDefault="0090721B" w:rsidP="00390950">
            <w:pPr>
              <w:rPr>
                <w:rFonts w:cstheme="minorHAnsi"/>
                <w:sz w:val="24"/>
              </w:rPr>
            </w:pPr>
            <w:r>
              <w:rPr>
                <w:rFonts w:cstheme="minorHAnsi"/>
                <w:sz w:val="24"/>
              </w:rPr>
              <w:t xml:space="preserve">- </w:t>
            </w:r>
            <w:r w:rsidR="007A5F0C" w:rsidRPr="008A782C">
              <w:rPr>
                <w:rFonts w:cstheme="minorHAnsi"/>
                <w:sz w:val="24"/>
              </w:rPr>
              <w:t>Multiple electrode</w:t>
            </w:r>
          </w:p>
          <w:p w:rsidR="007A5F0C" w:rsidRPr="008A782C" w:rsidRDefault="007A5F0C" w:rsidP="00390950">
            <w:pPr>
              <w:rPr>
                <w:rFonts w:cstheme="minorHAnsi"/>
                <w:sz w:val="24"/>
              </w:rPr>
            </w:pPr>
            <w:r w:rsidRPr="008A782C">
              <w:rPr>
                <w:rFonts w:cstheme="minorHAnsi"/>
                <w:sz w:val="24"/>
              </w:rPr>
              <w:t>platelet</w:t>
            </w:r>
          </w:p>
          <w:p w:rsidR="007A5F0C" w:rsidRPr="008A782C" w:rsidRDefault="007A5F0C" w:rsidP="00390950">
            <w:pPr>
              <w:rPr>
                <w:rFonts w:cstheme="minorHAnsi"/>
                <w:sz w:val="24"/>
              </w:rPr>
            </w:pPr>
            <w:proofErr w:type="spellStart"/>
            <w:r w:rsidRPr="008A782C">
              <w:rPr>
                <w:rFonts w:cstheme="minorHAnsi"/>
                <w:sz w:val="24"/>
              </w:rPr>
              <w:t>aggregometry</w:t>
            </w:r>
            <w:proofErr w:type="spellEnd"/>
          </w:p>
          <w:p w:rsidR="007A5F0C" w:rsidRDefault="007A5F0C" w:rsidP="00390950">
            <w:pPr>
              <w:rPr>
                <w:rFonts w:cstheme="minorHAnsi"/>
                <w:sz w:val="24"/>
              </w:rPr>
            </w:pPr>
            <w:r w:rsidRPr="008A782C">
              <w:rPr>
                <w:rFonts w:cstheme="minorHAnsi"/>
                <w:sz w:val="24"/>
              </w:rPr>
              <w:t>(</w:t>
            </w:r>
            <w:proofErr w:type="spellStart"/>
            <w:r w:rsidRPr="008A782C">
              <w:rPr>
                <w:rFonts w:cstheme="minorHAnsi"/>
                <w:sz w:val="24"/>
              </w:rPr>
              <w:t>Multiplate</w:t>
            </w:r>
            <w:proofErr w:type="spellEnd"/>
            <w:r w:rsidRPr="008A782C">
              <w:rPr>
                <w:rFonts w:cstheme="minorHAnsi"/>
                <w:sz w:val="24"/>
              </w:rPr>
              <w:t>)</w:t>
            </w:r>
          </w:p>
        </w:tc>
        <w:tc>
          <w:tcPr>
            <w:tcW w:w="2719" w:type="dxa"/>
          </w:tcPr>
          <w:p w:rsidR="007A5F0C" w:rsidRPr="008A782C" w:rsidRDefault="0090721B" w:rsidP="00390950">
            <w:pPr>
              <w:rPr>
                <w:rFonts w:cstheme="minorHAnsi"/>
                <w:sz w:val="24"/>
              </w:rPr>
            </w:pPr>
            <w:r>
              <w:rPr>
                <w:rFonts w:cstheme="minorHAnsi"/>
                <w:sz w:val="24"/>
              </w:rPr>
              <w:t xml:space="preserve">- </w:t>
            </w:r>
            <w:r w:rsidR="007A5F0C" w:rsidRPr="008A782C">
              <w:rPr>
                <w:rFonts w:cstheme="minorHAnsi"/>
                <w:sz w:val="24"/>
              </w:rPr>
              <w:t>P2Y12 assay</w:t>
            </w:r>
            <w:r w:rsidR="007A5F0C">
              <w:rPr>
                <w:rFonts w:cstheme="minorHAnsi"/>
                <w:sz w:val="24"/>
              </w:rPr>
              <w:t>.</w:t>
            </w:r>
          </w:p>
          <w:p w:rsidR="007A5F0C" w:rsidRPr="008A782C" w:rsidRDefault="0090721B" w:rsidP="00390950">
            <w:pPr>
              <w:rPr>
                <w:rFonts w:cstheme="minorHAnsi"/>
                <w:sz w:val="24"/>
              </w:rPr>
            </w:pPr>
            <w:r>
              <w:rPr>
                <w:rFonts w:cstheme="minorHAnsi"/>
                <w:sz w:val="24"/>
              </w:rPr>
              <w:t xml:space="preserve">- </w:t>
            </w:r>
            <w:r w:rsidR="007A5F0C" w:rsidRPr="008A782C">
              <w:rPr>
                <w:rFonts w:cstheme="minorHAnsi"/>
                <w:sz w:val="24"/>
              </w:rPr>
              <w:t>Platelet mapping</w:t>
            </w:r>
          </w:p>
          <w:p w:rsidR="007A5F0C" w:rsidRPr="008A782C" w:rsidRDefault="007A5F0C" w:rsidP="00390950">
            <w:pPr>
              <w:rPr>
                <w:rFonts w:cstheme="minorHAnsi"/>
                <w:sz w:val="24"/>
              </w:rPr>
            </w:pPr>
            <w:proofErr w:type="gramStart"/>
            <w:r w:rsidRPr="008A782C">
              <w:rPr>
                <w:rFonts w:cstheme="minorHAnsi"/>
                <w:sz w:val="24"/>
              </w:rPr>
              <w:t>portion</w:t>
            </w:r>
            <w:proofErr w:type="gramEnd"/>
            <w:r w:rsidRPr="008A782C">
              <w:rPr>
                <w:rFonts w:cstheme="minorHAnsi"/>
                <w:sz w:val="24"/>
              </w:rPr>
              <w:t xml:space="preserve"> of the TEG</w:t>
            </w:r>
            <w:r>
              <w:rPr>
                <w:rFonts w:cstheme="minorHAnsi"/>
                <w:sz w:val="24"/>
              </w:rPr>
              <w:t>.</w:t>
            </w:r>
          </w:p>
          <w:p w:rsidR="007A5F0C" w:rsidRPr="008A782C" w:rsidRDefault="00F82D03" w:rsidP="00390950">
            <w:pPr>
              <w:rPr>
                <w:rFonts w:cstheme="minorHAnsi"/>
                <w:sz w:val="24"/>
              </w:rPr>
            </w:pPr>
            <w:r>
              <w:rPr>
                <w:rFonts w:cstheme="minorHAnsi"/>
                <w:sz w:val="24"/>
              </w:rPr>
              <w:t xml:space="preserve">- </w:t>
            </w:r>
            <w:r w:rsidR="007A5F0C" w:rsidRPr="008A782C">
              <w:rPr>
                <w:rFonts w:cstheme="minorHAnsi"/>
                <w:sz w:val="24"/>
              </w:rPr>
              <w:t>Multiple electrode</w:t>
            </w:r>
          </w:p>
          <w:p w:rsidR="007A5F0C" w:rsidRPr="008A782C" w:rsidRDefault="0090721B" w:rsidP="00390950">
            <w:pPr>
              <w:rPr>
                <w:rFonts w:cstheme="minorHAnsi"/>
                <w:sz w:val="24"/>
              </w:rPr>
            </w:pPr>
            <w:proofErr w:type="spellStart"/>
            <w:r>
              <w:rPr>
                <w:rFonts w:cstheme="minorHAnsi"/>
                <w:sz w:val="24"/>
              </w:rPr>
              <w:t>p</w:t>
            </w:r>
            <w:r w:rsidR="007A5F0C" w:rsidRPr="008A782C">
              <w:rPr>
                <w:rFonts w:cstheme="minorHAnsi"/>
                <w:sz w:val="24"/>
              </w:rPr>
              <w:t>lateletaggregometry</w:t>
            </w:r>
            <w:proofErr w:type="spellEnd"/>
          </w:p>
          <w:p w:rsidR="007A5F0C" w:rsidRDefault="007A5F0C" w:rsidP="00390950">
            <w:pPr>
              <w:rPr>
                <w:rFonts w:cstheme="minorHAnsi"/>
                <w:sz w:val="24"/>
              </w:rPr>
            </w:pPr>
            <w:r w:rsidRPr="008A782C">
              <w:rPr>
                <w:rFonts w:cstheme="minorHAnsi"/>
                <w:sz w:val="24"/>
              </w:rPr>
              <w:t>(</w:t>
            </w:r>
            <w:proofErr w:type="spellStart"/>
            <w:r w:rsidRPr="008A782C">
              <w:rPr>
                <w:rFonts w:cstheme="minorHAnsi"/>
                <w:sz w:val="24"/>
              </w:rPr>
              <w:t>Multiplate</w:t>
            </w:r>
            <w:proofErr w:type="spellEnd"/>
            <w:r w:rsidRPr="008A782C">
              <w:rPr>
                <w:rFonts w:cstheme="minorHAnsi"/>
                <w:sz w:val="24"/>
              </w:rPr>
              <w:t>)</w:t>
            </w:r>
          </w:p>
        </w:tc>
        <w:tc>
          <w:tcPr>
            <w:tcW w:w="2732" w:type="dxa"/>
          </w:tcPr>
          <w:p w:rsidR="007A5F0C" w:rsidRPr="008A782C" w:rsidRDefault="007A5F0C" w:rsidP="008A782C">
            <w:pPr>
              <w:rPr>
                <w:rFonts w:cstheme="minorHAnsi"/>
                <w:sz w:val="24"/>
              </w:rPr>
            </w:pPr>
          </w:p>
        </w:tc>
      </w:tr>
      <w:tr w:rsidR="007A5F0C" w:rsidTr="007A5F0C">
        <w:trPr>
          <w:trHeight w:val="279"/>
        </w:trPr>
        <w:tc>
          <w:tcPr>
            <w:tcW w:w="2381" w:type="dxa"/>
          </w:tcPr>
          <w:p w:rsidR="007A5F0C" w:rsidRPr="008A782C" w:rsidRDefault="007A5F0C" w:rsidP="008A4106">
            <w:pPr>
              <w:rPr>
                <w:rFonts w:cstheme="minorHAnsi"/>
                <w:sz w:val="24"/>
              </w:rPr>
            </w:pPr>
            <w:r w:rsidRPr="008A782C">
              <w:rPr>
                <w:rFonts w:cstheme="minorHAnsi"/>
                <w:sz w:val="24"/>
              </w:rPr>
              <w:t>Reversal</w:t>
            </w:r>
          </w:p>
        </w:tc>
        <w:tc>
          <w:tcPr>
            <w:tcW w:w="2358" w:type="dxa"/>
          </w:tcPr>
          <w:p w:rsidR="007A5F0C" w:rsidRDefault="007A5F0C" w:rsidP="00390950">
            <w:pPr>
              <w:rPr>
                <w:rFonts w:cstheme="minorHAnsi"/>
                <w:sz w:val="24"/>
              </w:rPr>
            </w:pPr>
            <w:r w:rsidRPr="008A782C">
              <w:rPr>
                <w:rFonts w:cstheme="minorHAnsi"/>
                <w:sz w:val="24"/>
              </w:rPr>
              <w:t xml:space="preserve">Platelets </w:t>
            </w:r>
          </w:p>
        </w:tc>
        <w:tc>
          <w:tcPr>
            <w:tcW w:w="2719" w:type="dxa"/>
          </w:tcPr>
          <w:p w:rsidR="007A5F0C" w:rsidRDefault="007A5F0C" w:rsidP="00390950">
            <w:pPr>
              <w:rPr>
                <w:rFonts w:cstheme="minorHAnsi"/>
                <w:sz w:val="24"/>
              </w:rPr>
            </w:pPr>
            <w:r w:rsidRPr="008A782C">
              <w:rPr>
                <w:rFonts w:cstheme="minorHAnsi"/>
                <w:sz w:val="24"/>
              </w:rPr>
              <w:t>Platelets</w:t>
            </w:r>
          </w:p>
        </w:tc>
        <w:tc>
          <w:tcPr>
            <w:tcW w:w="2732" w:type="dxa"/>
          </w:tcPr>
          <w:p w:rsidR="007A5F0C" w:rsidRPr="008A782C" w:rsidRDefault="007A5F0C" w:rsidP="008A782C">
            <w:pPr>
              <w:rPr>
                <w:rFonts w:cstheme="minorHAnsi"/>
                <w:sz w:val="24"/>
              </w:rPr>
            </w:pPr>
          </w:p>
        </w:tc>
      </w:tr>
    </w:tbl>
    <w:p w:rsidR="00D24718" w:rsidRDefault="008A782C" w:rsidP="00465848">
      <w:pPr>
        <w:rPr>
          <w:rFonts w:cstheme="minorHAnsi"/>
          <w:b/>
          <w:bCs/>
          <w:i/>
          <w:sz w:val="28"/>
          <w:szCs w:val="20"/>
        </w:rPr>
      </w:pPr>
      <w:r w:rsidRPr="00D24718">
        <w:rPr>
          <w:rFonts w:cstheme="minorHAnsi"/>
          <w:i/>
          <w:sz w:val="24"/>
        </w:rPr>
        <w:t xml:space="preserve">PCC, </w:t>
      </w:r>
      <w:proofErr w:type="spellStart"/>
      <w:r w:rsidRPr="00D24718">
        <w:rPr>
          <w:rFonts w:cstheme="minorHAnsi"/>
          <w:i/>
          <w:sz w:val="24"/>
        </w:rPr>
        <w:t>prothrombin</w:t>
      </w:r>
      <w:proofErr w:type="spellEnd"/>
      <w:r w:rsidRPr="00D24718">
        <w:rPr>
          <w:rFonts w:cstheme="minorHAnsi"/>
          <w:i/>
          <w:sz w:val="24"/>
        </w:rPr>
        <w:t xml:space="preserve"> complex concentrate; PT, </w:t>
      </w:r>
      <w:proofErr w:type="spellStart"/>
      <w:r w:rsidRPr="00D24718">
        <w:rPr>
          <w:rFonts w:cstheme="minorHAnsi"/>
          <w:i/>
          <w:sz w:val="24"/>
        </w:rPr>
        <w:t>prothrombin</w:t>
      </w:r>
      <w:proofErr w:type="spellEnd"/>
      <w:r w:rsidRPr="00D24718">
        <w:rPr>
          <w:rFonts w:cstheme="minorHAnsi"/>
          <w:i/>
          <w:sz w:val="24"/>
        </w:rPr>
        <w:t xml:space="preserve"> time; PTT, partial </w:t>
      </w:r>
      <w:proofErr w:type="spellStart"/>
      <w:r w:rsidRPr="00D24718">
        <w:rPr>
          <w:rFonts w:cstheme="minorHAnsi"/>
          <w:i/>
          <w:sz w:val="24"/>
        </w:rPr>
        <w:t>thromboplastin</w:t>
      </w:r>
      <w:proofErr w:type="spellEnd"/>
      <w:r w:rsidRPr="00D24718">
        <w:rPr>
          <w:rFonts w:cstheme="minorHAnsi"/>
          <w:i/>
          <w:sz w:val="24"/>
        </w:rPr>
        <w:t xml:space="preserve"> time; TEG, </w:t>
      </w:r>
      <w:proofErr w:type="spellStart"/>
      <w:r w:rsidRPr="00D24718">
        <w:rPr>
          <w:rFonts w:cstheme="minorHAnsi"/>
          <w:i/>
          <w:sz w:val="24"/>
        </w:rPr>
        <w:t>thrombelastography</w:t>
      </w:r>
      <w:proofErr w:type="spellEnd"/>
      <w:r w:rsidRPr="00D24718">
        <w:rPr>
          <w:rFonts w:cstheme="minorHAnsi"/>
          <w:i/>
          <w:sz w:val="24"/>
        </w:rPr>
        <w:t>; TT, thrombin time.</w:t>
      </w:r>
    </w:p>
    <w:p w:rsidR="00D24718" w:rsidRDefault="00D24718" w:rsidP="00465848">
      <w:pPr>
        <w:rPr>
          <w:rFonts w:cstheme="minorHAnsi"/>
          <w:b/>
          <w:bCs/>
          <w:i/>
          <w:sz w:val="28"/>
          <w:szCs w:val="20"/>
        </w:rPr>
      </w:pPr>
    </w:p>
    <w:p w:rsidR="00465848" w:rsidRPr="00D24718" w:rsidRDefault="008A782C" w:rsidP="00465848">
      <w:pPr>
        <w:rPr>
          <w:rFonts w:cstheme="minorHAnsi"/>
          <w:b/>
          <w:bCs/>
          <w:i/>
          <w:sz w:val="28"/>
          <w:szCs w:val="20"/>
        </w:rPr>
      </w:pPr>
      <w:r w:rsidRPr="008A782C">
        <w:rPr>
          <w:rFonts w:cstheme="minorHAnsi"/>
          <w:b/>
          <w:bCs/>
          <w:sz w:val="28"/>
          <w:szCs w:val="20"/>
        </w:rPr>
        <w:t>Management of Bleeding</w:t>
      </w:r>
    </w:p>
    <w:p w:rsidR="002012B5" w:rsidRDefault="00465848" w:rsidP="00465848">
      <w:pPr>
        <w:rPr>
          <w:rFonts w:cstheme="minorHAnsi"/>
          <w:bCs/>
          <w:sz w:val="24"/>
          <w:szCs w:val="24"/>
        </w:rPr>
      </w:pPr>
      <w:r w:rsidRPr="00465848">
        <w:rPr>
          <w:rFonts w:cstheme="minorHAnsi"/>
          <w:bCs/>
          <w:sz w:val="24"/>
          <w:szCs w:val="24"/>
        </w:rPr>
        <w:t>There are several reversal strategies available for patients on antiplatelet therapy who present with an acute hemorr</w:t>
      </w:r>
      <w:r>
        <w:rPr>
          <w:rFonts w:cstheme="minorHAnsi"/>
          <w:bCs/>
          <w:sz w:val="24"/>
          <w:szCs w:val="24"/>
        </w:rPr>
        <w:t>hage (spontaneous or traumatic)</w:t>
      </w:r>
      <w:r w:rsidRPr="00465848">
        <w:rPr>
          <w:rFonts w:cstheme="minorHAnsi"/>
          <w:bCs/>
          <w:sz w:val="24"/>
          <w:szCs w:val="24"/>
        </w:rPr>
        <w:t xml:space="preserve">. These strategies include administration of platelets, </w:t>
      </w:r>
      <w:proofErr w:type="spellStart"/>
      <w:r w:rsidRPr="00465848">
        <w:rPr>
          <w:rFonts w:cstheme="minorHAnsi"/>
          <w:bCs/>
          <w:sz w:val="24"/>
          <w:szCs w:val="24"/>
        </w:rPr>
        <w:t>desmopressin</w:t>
      </w:r>
      <w:proofErr w:type="spellEnd"/>
      <w:r w:rsidRPr="00465848">
        <w:rPr>
          <w:rFonts w:cstheme="minorHAnsi"/>
          <w:bCs/>
          <w:sz w:val="24"/>
          <w:szCs w:val="24"/>
        </w:rPr>
        <w:t>, conjugated estrogens, and/or recombinant factor VII</w:t>
      </w:r>
      <w:r>
        <w:rPr>
          <w:rFonts w:cstheme="minorHAnsi"/>
          <w:bCs/>
          <w:sz w:val="24"/>
          <w:szCs w:val="24"/>
        </w:rPr>
        <w:t xml:space="preserve">. </w:t>
      </w:r>
    </w:p>
    <w:p w:rsidR="0090721B" w:rsidRDefault="00465848" w:rsidP="00465848">
      <w:pPr>
        <w:rPr>
          <w:rFonts w:cstheme="minorHAnsi"/>
          <w:bCs/>
          <w:sz w:val="24"/>
          <w:szCs w:val="24"/>
        </w:rPr>
      </w:pPr>
      <w:r w:rsidRPr="00465848">
        <w:rPr>
          <w:rFonts w:cstheme="minorHAnsi"/>
          <w:bCs/>
          <w:sz w:val="24"/>
          <w:szCs w:val="24"/>
        </w:rPr>
        <w:t>Platelet function assays were not routinely performed.</w:t>
      </w:r>
    </w:p>
    <w:p w:rsidR="002012B5" w:rsidRDefault="002012B5" w:rsidP="00465848">
      <w:pPr>
        <w:rPr>
          <w:sz w:val="24"/>
          <w:szCs w:val="24"/>
        </w:rPr>
      </w:pPr>
      <w:r w:rsidRPr="002012B5">
        <w:rPr>
          <w:sz w:val="24"/>
          <w:szCs w:val="24"/>
        </w:rPr>
        <w:t>Interpretation of Platelet Function Assays</w:t>
      </w:r>
      <w:r>
        <w:rPr>
          <w:sz w:val="24"/>
          <w:szCs w:val="24"/>
        </w:rPr>
        <w:t>:</w:t>
      </w:r>
    </w:p>
    <w:tbl>
      <w:tblPr>
        <w:tblStyle w:val="TableGrid"/>
        <w:tblW w:w="0" w:type="auto"/>
        <w:tblLayout w:type="fixed"/>
        <w:tblLook w:val="0000"/>
      </w:tblPr>
      <w:tblGrid>
        <w:gridCol w:w="2942"/>
        <w:gridCol w:w="2942"/>
        <w:gridCol w:w="2942"/>
      </w:tblGrid>
      <w:tr w:rsidR="002012B5" w:rsidRPr="002012B5" w:rsidTr="002012B5">
        <w:trPr>
          <w:trHeight w:val="93"/>
        </w:trPr>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b/>
                <w:bCs/>
                <w:i/>
                <w:iCs/>
                <w:color w:val="000000"/>
                <w:sz w:val="20"/>
                <w:szCs w:val="20"/>
              </w:rPr>
              <w:t xml:space="preserve">Test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b/>
                <w:bCs/>
                <w:i/>
                <w:iCs/>
                <w:color w:val="000000"/>
                <w:sz w:val="20"/>
                <w:szCs w:val="20"/>
              </w:rPr>
              <w:t xml:space="preserve">Abnormal (“Positive”)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b/>
                <w:bCs/>
                <w:i/>
                <w:iCs/>
                <w:color w:val="000000"/>
                <w:sz w:val="20"/>
                <w:szCs w:val="20"/>
              </w:rPr>
              <w:t xml:space="preserve">Normal (“Negative”) </w:t>
            </w:r>
          </w:p>
        </w:tc>
      </w:tr>
      <w:tr w:rsidR="002012B5" w:rsidRPr="002012B5" w:rsidTr="002012B5">
        <w:trPr>
          <w:trHeight w:val="323"/>
        </w:trPr>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Platelet Function Assay </w:t>
            </w:r>
          </w:p>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b/>
                <w:bCs/>
                <w:color w:val="000000"/>
                <w:sz w:val="20"/>
                <w:szCs w:val="20"/>
              </w:rPr>
              <w:t xml:space="preserve">(PFA-100®)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&gt; 180 seconds = abnormal </w:t>
            </w:r>
          </w:p>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&gt; 200 seconds = Aspirin effect </w:t>
            </w:r>
          </w:p>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&gt; 300 = GP </w:t>
            </w:r>
            <w:proofErr w:type="spellStart"/>
            <w:r w:rsidRPr="002012B5">
              <w:rPr>
                <w:rFonts w:ascii="Arial" w:hAnsi="Arial" w:cs="Arial"/>
                <w:color w:val="000000"/>
                <w:sz w:val="20"/>
                <w:szCs w:val="20"/>
              </w:rPr>
              <w:t>IIb</w:t>
            </w:r>
            <w:proofErr w:type="spellEnd"/>
            <w:r w:rsidRPr="002012B5">
              <w:rPr>
                <w:rFonts w:ascii="Arial" w:hAnsi="Arial" w:cs="Arial"/>
                <w:color w:val="000000"/>
                <w:sz w:val="20"/>
                <w:szCs w:val="20"/>
              </w:rPr>
              <w:t>/</w:t>
            </w:r>
            <w:proofErr w:type="spellStart"/>
            <w:r w:rsidRPr="002012B5">
              <w:rPr>
                <w:rFonts w:ascii="Arial" w:hAnsi="Arial" w:cs="Arial"/>
                <w:color w:val="000000"/>
                <w:sz w:val="20"/>
                <w:szCs w:val="20"/>
              </w:rPr>
              <w:t>IIIa</w:t>
            </w:r>
            <w:proofErr w:type="spellEnd"/>
            <w:r w:rsidRPr="002012B5">
              <w:rPr>
                <w:rFonts w:ascii="Arial" w:hAnsi="Arial" w:cs="Arial"/>
                <w:color w:val="000000"/>
                <w:sz w:val="20"/>
                <w:szCs w:val="20"/>
              </w:rPr>
              <w:t xml:space="preserve"> inhibitor effect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63 – 180 seconds* </w:t>
            </w:r>
          </w:p>
        </w:tc>
      </w:tr>
      <w:tr w:rsidR="002012B5" w:rsidRPr="002012B5" w:rsidTr="002012B5">
        <w:trPr>
          <w:trHeight w:val="206"/>
        </w:trPr>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Platelet Function Assay ASPIRIN </w:t>
            </w:r>
          </w:p>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b/>
                <w:bCs/>
                <w:color w:val="000000"/>
                <w:sz w:val="20"/>
                <w:szCs w:val="20"/>
              </w:rPr>
              <w:t>(</w:t>
            </w:r>
            <w:proofErr w:type="spellStart"/>
            <w:r w:rsidRPr="002012B5">
              <w:rPr>
                <w:rFonts w:ascii="Arial" w:hAnsi="Arial" w:cs="Arial"/>
                <w:b/>
                <w:bCs/>
                <w:color w:val="000000"/>
                <w:sz w:val="20"/>
                <w:szCs w:val="20"/>
              </w:rPr>
              <w:t>VerifyNow</w:t>
            </w:r>
            <w:proofErr w:type="spellEnd"/>
            <w:r w:rsidRPr="002012B5">
              <w:rPr>
                <w:rFonts w:ascii="Arial" w:hAnsi="Arial" w:cs="Arial"/>
                <w:b/>
                <w:bCs/>
                <w:color w:val="000000"/>
                <w:sz w:val="20"/>
                <w:szCs w:val="20"/>
              </w:rPr>
              <w:t xml:space="preserve">® Aspirin Assay)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&lt; 550 ARU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 550 ARU </w:t>
            </w:r>
          </w:p>
        </w:tc>
      </w:tr>
      <w:tr w:rsidR="002012B5" w:rsidRPr="002012B5" w:rsidTr="002012B5">
        <w:trPr>
          <w:trHeight w:val="207"/>
        </w:trPr>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Platelet Function Assay PLAVIX </w:t>
            </w:r>
          </w:p>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b/>
                <w:bCs/>
                <w:color w:val="000000"/>
                <w:sz w:val="20"/>
                <w:szCs w:val="20"/>
              </w:rPr>
              <w:t>(</w:t>
            </w:r>
            <w:proofErr w:type="spellStart"/>
            <w:r w:rsidRPr="002012B5">
              <w:rPr>
                <w:rFonts w:ascii="Arial" w:hAnsi="Arial" w:cs="Arial"/>
                <w:b/>
                <w:bCs/>
                <w:color w:val="000000"/>
                <w:sz w:val="20"/>
                <w:szCs w:val="20"/>
              </w:rPr>
              <w:t>VerifyNow</w:t>
            </w:r>
            <w:proofErr w:type="spellEnd"/>
            <w:r w:rsidRPr="002012B5">
              <w:rPr>
                <w:rFonts w:ascii="Arial" w:hAnsi="Arial" w:cs="Arial"/>
                <w:b/>
                <w:bCs/>
                <w:color w:val="000000"/>
                <w:sz w:val="20"/>
                <w:szCs w:val="20"/>
              </w:rPr>
              <w:t xml:space="preserve">® P2Y12 Assay)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&lt; 194 PRU </w:t>
            </w:r>
          </w:p>
        </w:tc>
        <w:tc>
          <w:tcPr>
            <w:tcW w:w="2942" w:type="dxa"/>
          </w:tcPr>
          <w:p w:rsidR="002012B5" w:rsidRPr="002012B5" w:rsidRDefault="002012B5" w:rsidP="002012B5">
            <w:pPr>
              <w:autoSpaceDE w:val="0"/>
              <w:autoSpaceDN w:val="0"/>
              <w:adjustRightInd w:val="0"/>
              <w:rPr>
                <w:rFonts w:ascii="Arial" w:hAnsi="Arial" w:cs="Arial"/>
                <w:color w:val="000000"/>
                <w:sz w:val="20"/>
                <w:szCs w:val="20"/>
              </w:rPr>
            </w:pPr>
            <w:r w:rsidRPr="002012B5">
              <w:rPr>
                <w:rFonts w:ascii="Arial" w:hAnsi="Arial" w:cs="Arial"/>
                <w:color w:val="000000"/>
                <w:sz w:val="20"/>
                <w:szCs w:val="20"/>
              </w:rPr>
              <w:t xml:space="preserve">194-419 PRU† </w:t>
            </w:r>
          </w:p>
        </w:tc>
      </w:tr>
    </w:tbl>
    <w:p w:rsidR="002012B5" w:rsidRDefault="0090721B" w:rsidP="002012B5">
      <w:pPr>
        <w:rPr>
          <w:sz w:val="24"/>
          <w:szCs w:val="24"/>
        </w:rPr>
      </w:pPr>
      <w:r w:rsidRPr="0090721B">
        <w:rPr>
          <w:i/>
          <w:szCs w:val="24"/>
        </w:rPr>
        <w:t xml:space="preserve">GP </w:t>
      </w:r>
      <w:proofErr w:type="spellStart"/>
      <w:r w:rsidRPr="0090721B">
        <w:rPr>
          <w:i/>
          <w:szCs w:val="24"/>
        </w:rPr>
        <w:t>IIb</w:t>
      </w:r>
      <w:proofErr w:type="spellEnd"/>
      <w:r w:rsidRPr="0090721B">
        <w:rPr>
          <w:i/>
          <w:szCs w:val="24"/>
        </w:rPr>
        <w:t>/</w:t>
      </w:r>
      <w:proofErr w:type="spellStart"/>
      <w:r w:rsidRPr="0090721B">
        <w:rPr>
          <w:i/>
          <w:szCs w:val="24"/>
        </w:rPr>
        <w:t>IIIainihibitor</w:t>
      </w:r>
      <w:proofErr w:type="spellEnd"/>
      <w:r w:rsidRPr="0090721B">
        <w:rPr>
          <w:i/>
          <w:szCs w:val="24"/>
        </w:rPr>
        <w:t xml:space="preserve"> = glycoprotein </w:t>
      </w:r>
      <w:proofErr w:type="spellStart"/>
      <w:r w:rsidRPr="0090721B">
        <w:rPr>
          <w:i/>
          <w:szCs w:val="24"/>
        </w:rPr>
        <w:t>IIb</w:t>
      </w:r>
      <w:proofErr w:type="spellEnd"/>
      <w:r w:rsidRPr="0090721B">
        <w:rPr>
          <w:i/>
          <w:szCs w:val="24"/>
        </w:rPr>
        <w:t>/</w:t>
      </w:r>
      <w:proofErr w:type="spellStart"/>
      <w:r w:rsidRPr="0090721B">
        <w:rPr>
          <w:i/>
          <w:szCs w:val="24"/>
        </w:rPr>
        <w:t>IIIa</w:t>
      </w:r>
      <w:proofErr w:type="spellEnd"/>
      <w:r w:rsidRPr="0090721B">
        <w:rPr>
          <w:i/>
          <w:szCs w:val="24"/>
        </w:rPr>
        <w:t>, ARU = aspirin reaction units, PRU = P2Y12 reaction units</w:t>
      </w:r>
      <w:r w:rsidR="002012B5">
        <w:rPr>
          <w:sz w:val="24"/>
          <w:szCs w:val="24"/>
        </w:rPr>
        <w:t xml:space="preserve">. </w:t>
      </w:r>
    </w:p>
    <w:p w:rsidR="006F036D" w:rsidRDefault="00465848" w:rsidP="00B94D32">
      <w:pPr>
        <w:rPr>
          <w:sz w:val="24"/>
          <w:szCs w:val="24"/>
        </w:rPr>
      </w:pPr>
      <w:proofErr w:type="spellStart"/>
      <w:r w:rsidRPr="00465848">
        <w:rPr>
          <w:sz w:val="24"/>
          <w:szCs w:val="24"/>
        </w:rPr>
        <w:t>Powner</w:t>
      </w:r>
      <w:proofErr w:type="spellEnd"/>
      <w:r w:rsidRPr="00465848">
        <w:rPr>
          <w:sz w:val="24"/>
          <w:szCs w:val="24"/>
        </w:rPr>
        <w:t xml:space="preserve"> DJ, et.al. </w:t>
      </w:r>
      <w:proofErr w:type="gramStart"/>
      <w:r w:rsidRPr="00465848">
        <w:rPr>
          <w:sz w:val="24"/>
          <w:szCs w:val="24"/>
        </w:rPr>
        <w:t>reviewed</w:t>
      </w:r>
      <w:proofErr w:type="gramEnd"/>
      <w:r w:rsidRPr="00465848">
        <w:rPr>
          <w:sz w:val="24"/>
          <w:szCs w:val="24"/>
        </w:rPr>
        <w:t xml:space="preserve"> the options presently available to reverse antiplatelet agents. Their recommendation was a minimum of 5 units or equivalent of platelets to off-set the effects of routine aspirin or </w:t>
      </w:r>
      <w:proofErr w:type="spellStart"/>
      <w:r w:rsidR="0090721B">
        <w:rPr>
          <w:sz w:val="24"/>
          <w:szCs w:val="24"/>
        </w:rPr>
        <w:t>C</w:t>
      </w:r>
      <w:r w:rsidRPr="00465848">
        <w:rPr>
          <w:sz w:val="24"/>
          <w:szCs w:val="24"/>
        </w:rPr>
        <w:t>lopidogrel</w:t>
      </w:r>
      <w:proofErr w:type="spellEnd"/>
      <w:r w:rsidRPr="00465848">
        <w:rPr>
          <w:sz w:val="24"/>
          <w:szCs w:val="24"/>
        </w:rPr>
        <w:t>/</w:t>
      </w:r>
      <w:proofErr w:type="spellStart"/>
      <w:r w:rsidR="0090721B">
        <w:rPr>
          <w:sz w:val="24"/>
          <w:szCs w:val="24"/>
        </w:rPr>
        <w:t>T</w:t>
      </w:r>
      <w:r w:rsidRPr="00465848">
        <w:rPr>
          <w:sz w:val="24"/>
          <w:szCs w:val="24"/>
        </w:rPr>
        <w:t>iclopidine</w:t>
      </w:r>
      <w:proofErr w:type="spellEnd"/>
      <w:r w:rsidRPr="00465848">
        <w:rPr>
          <w:sz w:val="24"/>
          <w:szCs w:val="24"/>
        </w:rPr>
        <w:t xml:space="preserve"> administration. This combined with discontinuation of </w:t>
      </w:r>
      <w:r w:rsidR="0090721B">
        <w:rPr>
          <w:sz w:val="24"/>
          <w:szCs w:val="24"/>
        </w:rPr>
        <w:t>A</w:t>
      </w:r>
      <w:r w:rsidRPr="00465848">
        <w:rPr>
          <w:sz w:val="24"/>
          <w:szCs w:val="24"/>
        </w:rPr>
        <w:t>spirin/</w:t>
      </w:r>
      <w:proofErr w:type="spellStart"/>
      <w:r w:rsidR="0090721B">
        <w:rPr>
          <w:sz w:val="24"/>
          <w:szCs w:val="24"/>
        </w:rPr>
        <w:t>C</w:t>
      </w:r>
      <w:r w:rsidRPr="00465848">
        <w:rPr>
          <w:sz w:val="24"/>
          <w:szCs w:val="24"/>
        </w:rPr>
        <w:t>lopidogrel</w:t>
      </w:r>
      <w:proofErr w:type="spellEnd"/>
      <w:r w:rsidRPr="00465848">
        <w:rPr>
          <w:sz w:val="24"/>
          <w:szCs w:val="24"/>
        </w:rPr>
        <w:t>/</w:t>
      </w:r>
      <w:r w:rsidR="0090721B">
        <w:rPr>
          <w:sz w:val="24"/>
          <w:szCs w:val="24"/>
        </w:rPr>
        <w:t>T</w:t>
      </w:r>
      <w:r w:rsidRPr="00465848">
        <w:rPr>
          <w:sz w:val="24"/>
          <w:szCs w:val="24"/>
        </w:rPr>
        <w:t>iclopidine</w:t>
      </w:r>
      <w:r>
        <w:rPr>
          <w:sz w:val="24"/>
          <w:szCs w:val="24"/>
          <w:vertAlign w:val="superscript"/>
        </w:rPr>
        <w:t>22</w:t>
      </w:r>
      <w:r>
        <w:rPr>
          <w:sz w:val="24"/>
          <w:szCs w:val="24"/>
        </w:rPr>
        <w:t xml:space="preserve">. </w:t>
      </w:r>
    </w:p>
    <w:p w:rsidR="00D24718" w:rsidRDefault="00D24718" w:rsidP="00B94D32">
      <w:pPr>
        <w:rPr>
          <w:sz w:val="24"/>
          <w:szCs w:val="24"/>
        </w:rPr>
      </w:pPr>
    </w:p>
    <w:p w:rsidR="00D24718" w:rsidRDefault="00D24718" w:rsidP="00B94D32">
      <w:pPr>
        <w:rPr>
          <w:sz w:val="24"/>
          <w:szCs w:val="24"/>
        </w:rPr>
      </w:pPr>
    </w:p>
    <w:tbl>
      <w:tblPr>
        <w:tblStyle w:val="TableGrid"/>
        <w:tblW w:w="0" w:type="auto"/>
        <w:tblLayout w:type="fixed"/>
        <w:tblLook w:val="0000"/>
      </w:tblPr>
      <w:tblGrid>
        <w:gridCol w:w="3142"/>
        <w:gridCol w:w="3142"/>
        <w:gridCol w:w="3142"/>
      </w:tblGrid>
      <w:tr w:rsidR="00465848" w:rsidRPr="00465848" w:rsidTr="00465848">
        <w:trPr>
          <w:trHeight w:val="198"/>
        </w:trPr>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b/>
                <w:bCs/>
                <w:color w:val="000000"/>
                <w:sz w:val="20"/>
                <w:szCs w:val="20"/>
              </w:rPr>
              <w:lastRenderedPageBreak/>
              <w:t xml:space="preserve">% added pooled PRP*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b/>
                <w:bCs/>
                <w:color w:val="000000"/>
                <w:sz w:val="20"/>
                <w:szCs w:val="20"/>
              </w:rPr>
              <w:t xml:space="preserve">Platelet units†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b/>
                <w:bCs/>
                <w:color w:val="000000"/>
                <w:sz w:val="20"/>
                <w:szCs w:val="20"/>
              </w:rPr>
              <w:t xml:space="preserve">Platelet pools‡ </w:t>
            </w:r>
          </w:p>
        </w:tc>
      </w:tr>
      <w:tr w:rsidR="00465848" w:rsidRPr="00465848" w:rsidTr="00465848">
        <w:trPr>
          <w:trHeight w:val="156"/>
        </w:trPr>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20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5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1 </w:t>
            </w:r>
          </w:p>
        </w:tc>
      </w:tr>
      <w:tr w:rsidR="00465848" w:rsidRPr="00465848" w:rsidTr="00465848">
        <w:trPr>
          <w:trHeight w:val="156"/>
        </w:trPr>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40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10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2 </w:t>
            </w:r>
          </w:p>
        </w:tc>
      </w:tr>
      <w:tr w:rsidR="00465848" w:rsidRPr="00465848" w:rsidTr="00465848">
        <w:trPr>
          <w:trHeight w:val="156"/>
        </w:trPr>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50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12.5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2-3 </w:t>
            </w:r>
          </w:p>
        </w:tc>
      </w:tr>
      <w:tr w:rsidR="00465848" w:rsidRPr="00465848" w:rsidTr="00465848">
        <w:trPr>
          <w:trHeight w:val="156"/>
        </w:trPr>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60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15 </w:t>
            </w:r>
          </w:p>
        </w:tc>
        <w:tc>
          <w:tcPr>
            <w:tcW w:w="3142" w:type="dxa"/>
          </w:tcPr>
          <w:p w:rsidR="00465848" w:rsidRPr="00465848" w:rsidRDefault="00465848" w:rsidP="00465848">
            <w:pPr>
              <w:autoSpaceDE w:val="0"/>
              <w:autoSpaceDN w:val="0"/>
              <w:adjustRightInd w:val="0"/>
              <w:rPr>
                <w:rFonts w:ascii="Arial" w:hAnsi="Arial" w:cs="Arial"/>
                <w:color w:val="000000"/>
                <w:sz w:val="20"/>
                <w:szCs w:val="20"/>
              </w:rPr>
            </w:pPr>
            <w:r w:rsidRPr="00465848">
              <w:rPr>
                <w:rFonts w:ascii="Arial" w:hAnsi="Arial" w:cs="Arial"/>
                <w:color w:val="000000"/>
                <w:sz w:val="20"/>
                <w:szCs w:val="20"/>
              </w:rPr>
              <w:t xml:space="preserve">3 </w:t>
            </w:r>
          </w:p>
        </w:tc>
      </w:tr>
    </w:tbl>
    <w:p w:rsidR="00465848" w:rsidRPr="00465848" w:rsidRDefault="00465848" w:rsidP="00465848">
      <w:pPr>
        <w:autoSpaceDE w:val="0"/>
        <w:autoSpaceDN w:val="0"/>
        <w:adjustRightInd w:val="0"/>
        <w:spacing w:after="0" w:line="240" w:lineRule="auto"/>
        <w:rPr>
          <w:rFonts w:ascii="Arial" w:hAnsi="Arial" w:cs="Arial"/>
          <w:color w:val="000000"/>
          <w:sz w:val="20"/>
          <w:szCs w:val="20"/>
        </w:rPr>
      </w:pPr>
      <w:r w:rsidRPr="00465848">
        <w:rPr>
          <w:rFonts w:ascii="Arial" w:hAnsi="Arial" w:cs="Arial"/>
          <w:color w:val="000000"/>
          <w:sz w:val="20"/>
          <w:szCs w:val="20"/>
        </w:rPr>
        <w:t xml:space="preserve">PRP = platelet rich plasma – the percent of normal platelets added to the aspirin / </w:t>
      </w:r>
      <w:proofErr w:type="spellStart"/>
      <w:r w:rsidRPr="00465848">
        <w:rPr>
          <w:rFonts w:ascii="Arial" w:hAnsi="Arial" w:cs="Arial"/>
          <w:color w:val="000000"/>
          <w:sz w:val="20"/>
          <w:szCs w:val="20"/>
        </w:rPr>
        <w:t>clopidogrel</w:t>
      </w:r>
      <w:proofErr w:type="spellEnd"/>
      <w:r w:rsidRPr="00465848">
        <w:rPr>
          <w:rFonts w:ascii="Arial" w:hAnsi="Arial" w:cs="Arial"/>
          <w:color w:val="000000"/>
          <w:sz w:val="20"/>
          <w:szCs w:val="20"/>
        </w:rPr>
        <w:t xml:space="preserve"> patient’s plasma to reverse the effects of anticoagulation </w:t>
      </w:r>
    </w:p>
    <w:p w:rsidR="00465848" w:rsidRPr="00465848" w:rsidRDefault="00465848" w:rsidP="00465848">
      <w:pPr>
        <w:autoSpaceDE w:val="0"/>
        <w:autoSpaceDN w:val="0"/>
        <w:adjustRightInd w:val="0"/>
        <w:spacing w:after="0" w:line="240" w:lineRule="auto"/>
        <w:rPr>
          <w:rFonts w:ascii="Arial" w:hAnsi="Arial" w:cs="Arial"/>
          <w:color w:val="000000"/>
          <w:sz w:val="20"/>
          <w:szCs w:val="20"/>
        </w:rPr>
      </w:pPr>
      <w:r w:rsidRPr="00465848">
        <w:rPr>
          <w:rFonts w:ascii="Arial" w:hAnsi="Arial" w:cs="Arial"/>
          <w:b/>
          <w:bCs/>
          <w:color w:val="000000"/>
          <w:sz w:val="13"/>
          <w:szCs w:val="13"/>
        </w:rPr>
        <w:t>†</w:t>
      </w:r>
      <w:r w:rsidRPr="00465848">
        <w:rPr>
          <w:rFonts w:ascii="Arial" w:hAnsi="Arial" w:cs="Arial"/>
          <w:color w:val="000000"/>
          <w:sz w:val="20"/>
          <w:szCs w:val="20"/>
        </w:rPr>
        <w:t xml:space="preserve">Platelet units – increased platelet counts by 10,000 </w:t>
      </w:r>
      <w:r>
        <w:rPr>
          <w:rFonts w:ascii="Arial" w:hAnsi="Arial" w:cs="Arial"/>
          <w:color w:val="000000"/>
          <w:sz w:val="20"/>
          <w:szCs w:val="20"/>
        </w:rPr>
        <w:t>µ</w:t>
      </w:r>
      <w:r w:rsidRPr="00465848">
        <w:rPr>
          <w:rFonts w:ascii="Arial" w:hAnsi="Arial" w:cs="Arial"/>
          <w:color w:val="000000"/>
          <w:sz w:val="20"/>
          <w:szCs w:val="20"/>
        </w:rPr>
        <w:t xml:space="preserve">L </w:t>
      </w:r>
    </w:p>
    <w:p w:rsidR="00465848" w:rsidRDefault="00465848" w:rsidP="00465848">
      <w:pPr>
        <w:rPr>
          <w:rFonts w:ascii="Arial" w:hAnsi="Arial" w:cs="Arial"/>
          <w:color w:val="000000"/>
          <w:sz w:val="20"/>
          <w:szCs w:val="20"/>
        </w:rPr>
      </w:pPr>
      <w:r w:rsidRPr="00465848">
        <w:rPr>
          <w:rFonts w:ascii="Arial" w:hAnsi="Arial" w:cs="Arial"/>
          <w:b/>
          <w:bCs/>
          <w:color w:val="000000"/>
          <w:sz w:val="13"/>
          <w:szCs w:val="13"/>
        </w:rPr>
        <w:t>‡</w:t>
      </w:r>
      <w:r w:rsidRPr="00465848">
        <w:rPr>
          <w:rFonts w:ascii="Arial" w:hAnsi="Arial" w:cs="Arial"/>
          <w:color w:val="000000"/>
          <w:sz w:val="20"/>
          <w:szCs w:val="20"/>
        </w:rPr>
        <w:t>Platelet pool = 5 platelet units</w:t>
      </w:r>
    </w:p>
    <w:p w:rsidR="00465848" w:rsidRPr="00465848" w:rsidRDefault="00465848" w:rsidP="00465848">
      <w:pPr>
        <w:rPr>
          <w:rFonts w:cstheme="minorHAnsi"/>
          <w:sz w:val="24"/>
          <w:szCs w:val="24"/>
        </w:rPr>
      </w:pPr>
      <w:r w:rsidRPr="00465848">
        <w:rPr>
          <w:rFonts w:cstheme="minorHAnsi"/>
          <w:sz w:val="24"/>
          <w:szCs w:val="24"/>
        </w:rPr>
        <w:t xml:space="preserve">Use of </w:t>
      </w:r>
      <w:proofErr w:type="spellStart"/>
      <w:r w:rsidRPr="00465848">
        <w:rPr>
          <w:rFonts w:cstheme="minorHAnsi"/>
          <w:sz w:val="24"/>
          <w:szCs w:val="24"/>
        </w:rPr>
        <w:t>Desmopressin</w:t>
      </w:r>
      <w:proofErr w:type="spellEnd"/>
      <w:r w:rsidRPr="00465848">
        <w:rPr>
          <w:rFonts w:cstheme="minorHAnsi"/>
          <w:sz w:val="24"/>
          <w:szCs w:val="24"/>
        </w:rPr>
        <w:t xml:space="preserve"> (DDAVP) in Patients on Anti-Platelet Agents</w:t>
      </w:r>
      <w:r w:rsidR="002012B5">
        <w:rPr>
          <w:rFonts w:cstheme="minorHAnsi"/>
          <w:sz w:val="24"/>
          <w:szCs w:val="24"/>
        </w:rPr>
        <w:t>:</w:t>
      </w:r>
    </w:p>
    <w:p w:rsidR="00465848" w:rsidRDefault="00465848" w:rsidP="00465848">
      <w:pPr>
        <w:rPr>
          <w:rFonts w:cstheme="minorHAnsi"/>
          <w:sz w:val="24"/>
          <w:szCs w:val="24"/>
          <w:vertAlign w:val="superscript"/>
        </w:rPr>
      </w:pPr>
      <w:r w:rsidRPr="00465848">
        <w:rPr>
          <w:rFonts w:cstheme="minorHAnsi"/>
          <w:sz w:val="24"/>
          <w:szCs w:val="24"/>
        </w:rPr>
        <w:t xml:space="preserve">With the increasing use of anti-platelet agents such as </w:t>
      </w:r>
      <w:proofErr w:type="spellStart"/>
      <w:r w:rsidR="0090721B">
        <w:rPr>
          <w:rFonts w:cstheme="minorHAnsi"/>
          <w:sz w:val="24"/>
          <w:szCs w:val="24"/>
        </w:rPr>
        <w:t>C</w:t>
      </w:r>
      <w:r w:rsidRPr="00465848">
        <w:rPr>
          <w:rFonts w:cstheme="minorHAnsi"/>
          <w:sz w:val="24"/>
          <w:szCs w:val="24"/>
        </w:rPr>
        <w:t>lopidogrel</w:t>
      </w:r>
      <w:proofErr w:type="spellEnd"/>
      <w:r w:rsidRPr="00465848">
        <w:rPr>
          <w:rFonts w:cstheme="minorHAnsi"/>
          <w:sz w:val="24"/>
          <w:szCs w:val="24"/>
        </w:rPr>
        <w:t xml:space="preserve"> and </w:t>
      </w:r>
      <w:r w:rsidR="0090721B">
        <w:rPr>
          <w:rFonts w:cstheme="minorHAnsi"/>
          <w:sz w:val="24"/>
          <w:szCs w:val="24"/>
        </w:rPr>
        <w:t>A</w:t>
      </w:r>
      <w:r w:rsidRPr="00465848">
        <w:rPr>
          <w:rFonts w:cstheme="minorHAnsi"/>
          <w:sz w:val="24"/>
          <w:szCs w:val="24"/>
        </w:rPr>
        <w:t xml:space="preserve">spirin, interest has been raised for a potential role of DDAVP in the setting of acute bleeding in these patients. The use of </w:t>
      </w:r>
      <w:proofErr w:type="spellStart"/>
      <w:r w:rsidR="0090721B">
        <w:rPr>
          <w:rFonts w:cstheme="minorHAnsi"/>
          <w:sz w:val="24"/>
          <w:szCs w:val="24"/>
        </w:rPr>
        <w:t>D</w:t>
      </w:r>
      <w:r w:rsidRPr="00465848">
        <w:rPr>
          <w:rFonts w:cstheme="minorHAnsi"/>
          <w:sz w:val="24"/>
          <w:szCs w:val="24"/>
        </w:rPr>
        <w:t>esmopressin</w:t>
      </w:r>
      <w:proofErr w:type="spellEnd"/>
      <w:r w:rsidRPr="00465848">
        <w:rPr>
          <w:rFonts w:cstheme="minorHAnsi"/>
          <w:sz w:val="24"/>
          <w:szCs w:val="24"/>
        </w:rPr>
        <w:t xml:space="preserve"> in patients with normal renal function who have active hemorrhage and a history of re</w:t>
      </w:r>
      <w:r w:rsidR="00381CBD">
        <w:rPr>
          <w:rFonts w:cstheme="minorHAnsi"/>
          <w:sz w:val="24"/>
          <w:szCs w:val="24"/>
        </w:rPr>
        <w:t xml:space="preserve">cent (within the past 7 days) </w:t>
      </w:r>
      <w:r w:rsidRPr="00465848">
        <w:rPr>
          <w:rFonts w:cstheme="minorHAnsi"/>
          <w:sz w:val="24"/>
          <w:szCs w:val="24"/>
        </w:rPr>
        <w:t xml:space="preserve"> aspirin or </w:t>
      </w:r>
      <w:proofErr w:type="spellStart"/>
      <w:r w:rsidR="0090721B">
        <w:rPr>
          <w:rFonts w:cstheme="minorHAnsi"/>
          <w:sz w:val="24"/>
          <w:szCs w:val="24"/>
        </w:rPr>
        <w:t>C</w:t>
      </w:r>
      <w:r w:rsidRPr="00465848">
        <w:rPr>
          <w:rFonts w:cstheme="minorHAnsi"/>
          <w:sz w:val="24"/>
          <w:szCs w:val="24"/>
        </w:rPr>
        <w:t>lopidogrel</w:t>
      </w:r>
      <w:proofErr w:type="spellEnd"/>
      <w:r w:rsidRPr="00465848">
        <w:rPr>
          <w:rFonts w:cstheme="minorHAnsi"/>
          <w:sz w:val="24"/>
          <w:szCs w:val="24"/>
        </w:rPr>
        <w:t xml:space="preserve"> administration is mentioned in a number of review articles, however, there is a paucity of randomized controlled trials evaluating its safety and efficacy in this population</w:t>
      </w:r>
      <w:r w:rsidR="002012B5">
        <w:rPr>
          <w:rFonts w:cstheme="minorHAnsi"/>
          <w:sz w:val="24"/>
          <w:szCs w:val="24"/>
          <w:vertAlign w:val="superscript"/>
        </w:rPr>
        <w:t>23</w:t>
      </w:r>
    </w:p>
    <w:p w:rsidR="002012B5" w:rsidRPr="002012B5" w:rsidRDefault="002012B5" w:rsidP="002012B5">
      <w:pPr>
        <w:rPr>
          <w:rFonts w:cstheme="minorHAnsi"/>
          <w:sz w:val="24"/>
          <w:szCs w:val="24"/>
        </w:rPr>
      </w:pPr>
      <w:r w:rsidRPr="002012B5">
        <w:rPr>
          <w:rFonts w:cstheme="minorHAnsi"/>
          <w:sz w:val="24"/>
          <w:szCs w:val="24"/>
        </w:rPr>
        <w:t>Treatment</w:t>
      </w:r>
      <w:r>
        <w:rPr>
          <w:rFonts w:cstheme="minorHAnsi"/>
          <w:sz w:val="24"/>
          <w:szCs w:val="24"/>
        </w:rPr>
        <w:t xml:space="preserve"> of bleeding due to Anticoagulants</w:t>
      </w:r>
      <w:r w:rsidRPr="002012B5">
        <w:rPr>
          <w:rFonts w:cstheme="minorHAnsi"/>
          <w:sz w:val="24"/>
          <w:szCs w:val="24"/>
        </w:rPr>
        <w:t xml:space="preserve"> is largely supportive and </w:t>
      </w:r>
      <w:r w:rsidR="00CA21C8" w:rsidRPr="002012B5">
        <w:rPr>
          <w:rFonts w:cstheme="minorHAnsi"/>
          <w:sz w:val="24"/>
          <w:szCs w:val="24"/>
        </w:rPr>
        <w:t>centers</w:t>
      </w:r>
      <w:r w:rsidRPr="002012B5">
        <w:rPr>
          <w:rFonts w:cstheme="minorHAnsi"/>
          <w:sz w:val="24"/>
          <w:szCs w:val="24"/>
        </w:rPr>
        <w:t xml:space="preserve"> around cessation of drug therapy as these drugs have</w:t>
      </w:r>
      <w:r w:rsidR="00381CBD">
        <w:rPr>
          <w:rFonts w:cstheme="minorHAnsi"/>
          <w:sz w:val="24"/>
          <w:szCs w:val="24"/>
        </w:rPr>
        <w:t xml:space="preserve"> </w:t>
      </w:r>
      <w:r w:rsidRPr="002012B5">
        <w:rPr>
          <w:rFonts w:cstheme="minorHAnsi"/>
          <w:sz w:val="24"/>
          <w:szCs w:val="24"/>
        </w:rPr>
        <w:t xml:space="preserve">relatively short half-lives. If bleeding becomes troublesome, local advice is to consider </w:t>
      </w:r>
      <w:proofErr w:type="spellStart"/>
      <w:r w:rsidR="00A1518D">
        <w:rPr>
          <w:rFonts w:cstheme="minorHAnsi"/>
          <w:sz w:val="24"/>
          <w:szCs w:val="24"/>
        </w:rPr>
        <w:t>T</w:t>
      </w:r>
      <w:r w:rsidRPr="002012B5">
        <w:rPr>
          <w:rFonts w:cstheme="minorHAnsi"/>
          <w:sz w:val="24"/>
          <w:szCs w:val="24"/>
        </w:rPr>
        <w:t>ranexamic</w:t>
      </w:r>
      <w:proofErr w:type="spellEnd"/>
      <w:r w:rsidRPr="002012B5">
        <w:rPr>
          <w:rFonts w:cstheme="minorHAnsi"/>
          <w:sz w:val="24"/>
          <w:szCs w:val="24"/>
        </w:rPr>
        <w:t xml:space="preserve"> </w:t>
      </w:r>
      <w:proofErr w:type="gramStart"/>
      <w:r w:rsidRPr="002012B5">
        <w:rPr>
          <w:rFonts w:cstheme="minorHAnsi"/>
          <w:sz w:val="24"/>
          <w:szCs w:val="24"/>
        </w:rPr>
        <w:t>acid(</w:t>
      </w:r>
      <w:proofErr w:type="gramEnd"/>
      <w:r w:rsidRPr="002012B5">
        <w:rPr>
          <w:rFonts w:cstheme="minorHAnsi"/>
          <w:sz w:val="24"/>
          <w:szCs w:val="24"/>
        </w:rPr>
        <w:t xml:space="preserve">TXA), </w:t>
      </w:r>
      <w:proofErr w:type="spellStart"/>
      <w:r w:rsidR="00A1518D">
        <w:rPr>
          <w:rFonts w:cstheme="minorHAnsi"/>
          <w:sz w:val="24"/>
          <w:szCs w:val="24"/>
        </w:rPr>
        <w:t>P</w:t>
      </w:r>
      <w:r w:rsidRPr="002012B5">
        <w:rPr>
          <w:rFonts w:cstheme="minorHAnsi"/>
          <w:sz w:val="24"/>
          <w:szCs w:val="24"/>
        </w:rPr>
        <w:t>rothrombin</w:t>
      </w:r>
      <w:proofErr w:type="spellEnd"/>
      <w:r w:rsidR="00381CBD">
        <w:rPr>
          <w:rFonts w:cstheme="minorHAnsi"/>
          <w:sz w:val="24"/>
          <w:szCs w:val="24"/>
        </w:rPr>
        <w:t xml:space="preserve"> </w:t>
      </w:r>
      <w:r w:rsidR="00A1518D">
        <w:rPr>
          <w:rFonts w:cstheme="minorHAnsi"/>
          <w:sz w:val="24"/>
          <w:szCs w:val="24"/>
        </w:rPr>
        <w:t>C</w:t>
      </w:r>
      <w:r w:rsidRPr="002012B5">
        <w:rPr>
          <w:rFonts w:cstheme="minorHAnsi"/>
          <w:sz w:val="24"/>
          <w:szCs w:val="24"/>
        </w:rPr>
        <w:t xml:space="preserve">omplex </w:t>
      </w:r>
      <w:r w:rsidR="00A1518D">
        <w:rPr>
          <w:rFonts w:cstheme="minorHAnsi"/>
          <w:sz w:val="24"/>
          <w:szCs w:val="24"/>
        </w:rPr>
        <w:t>C</w:t>
      </w:r>
      <w:r w:rsidRPr="002012B5">
        <w:rPr>
          <w:rFonts w:cstheme="minorHAnsi"/>
          <w:sz w:val="24"/>
          <w:szCs w:val="24"/>
        </w:rPr>
        <w:t>oncentrate (PCC) and recombinant activated factor VII (</w:t>
      </w:r>
      <w:proofErr w:type="spellStart"/>
      <w:r w:rsidRPr="002012B5">
        <w:rPr>
          <w:rFonts w:cstheme="minorHAnsi"/>
          <w:sz w:val="24"/>
          <w:szCs w:val="24"/>
        </w:rPr>
        <w:t>rFVIIa</w:t>
      </w:r>
      <w:proofErr w:type="spellEnd"/>
      <w:r w:rsidRPr="002012B5">
        <w:rPr>
          <w:rFonts w:cstheme="minorHAnsi"/>
          <w:sz w:val="24"/>
          <w:szCs w:val="24"/>
        </w:rPr>
        <w:t xml:space="preserve">), </w:t>
      </w:r>
      <w:proofErr w:type="spellStart"/>
      <w:r w:rsidRPr="002012B5">
        <w:rPr>
          <w:rFonts w:cstheme="minorHAnsi"/>
          <w:sz w:val="24"/>
          <w:szCs w:val="24"/>
        </w:rPr>
        <w:t>butthere</w:t>
      </w:r>
      <w:proofErr w:type="spellEnd"/>
      <w:r w:rsidRPr="002012B5">
        <w:rPr>
          <w:rFonts w:cstheme="minorHAnsi"/>
          <w:sz w:val="24"/>
          <w:szCs w:val="24"/>
        </w:rPr>
        <w:t xml:space="preserve"> is little supporting evidence for this. PCC and </w:t>
      </w:r>
      <w:proofErr w:type="spellStart"/>
      <w:r w:rsidRPr="002012B5">
        <w:rPr>
          <w:rFonts w:cstheme="minorHAnsi"/>
          <w:sz w:val="24"/>
          <w:szCs w:val="24"/>
        </w:rPr>
        <w:t>rVIIa</w:t>
      </w:r>
      <w:proofErr w:type="spellEnd"/>
      <w:r w:rsidRPr="002012B5">
        <w:rPr>
          <w:rFonts w:cstheme="minorHAnsi"/>
          <w:sz w:val="24"/>
          <w:szCs w:val="24"/>
        </w:rPr>
        <w:t xml:space="preserve"> are pro-coagulant and may lead to an</w:t>
      </w:r>
      <w:r w:rsidR="00381CBD">
        <w:rPr>
          <w:rFonts w:cstheme="minorHAnsi"/>
          <w:sz w:val="24"/>
          <w:szCs w:val="24"/>
        </w:rPr>
        <w:t xml:space="preserve"> </w:t>
      </w:r>
      <w:r w:rsidRPr="002012B5">
        <w:rPr>
          <w:rFonts w:cstheme="minorHAnsi"/>
          <w:sz w:val="24"/>
          <w:szCs w:val="24"/>
        </w:rPr>
        <w:t xml:space="preserve">increased risk of arterial thrombosis, particularly in </w:t>
      </w:r>
      <w:proofErr w:type="spellStart"/>
      <w:r w:rsidRPr="002012B5">
        <w:rPr>
          <w:rFonts w:cstheme="minorHAnsi"/>
          <w:sz w:val="24"/>
          <w:szCs w:val="24"/>
        </w:rPr>
        <w:t>arteriopathic</w:t>
      </w:r>
      <w:proofErr w:type="spellEnd"/>
      <w:r w:rsidRPr="002012B5">
        <w:rPr>
          <w:rFonts w:cstheme="minorHAnsi"/>
          <w:sz w:val="24"/>
          <w:szCs w:val="24"/>
        </w:rPr>
        <w:t xml:space="preserve"> patients.</w:t>
      </w:r>
    </w:p>
    <w:p w:rsidR="002012B5" w:rsidRPr="00C01E98" w:rsidRDefault="002012B5" w:rsidP="002012B5">
      <w:pPr>
        <w:rPr>
          <w:vertAlign w:val="superscript"/>
        </w:rPr>
      </w:pPr>
      <w:r w:rsidRPr="002012B5">
        <w:rPr>
          <w:b/>
        </w:rPr>
        <w:t xml:space="preserve">Summary of management of bleeding </w:t>
      </w:r>
      <w:r w:rsidR="00C01E98">
        <w:rPr>
          <w:vertAlign w:val="superscript"/>
        </w:rPr>
        <w:t>24</w:t>
      </w:r>
      <w:proofErr w:type="gramStart"/>
      <w:r w:rsidR="00C01E98">
        <w:rPr>
          <w:vertAlign w:val="superscript"/>
        </w:rPr>
        <w:t>,25</w:t>
      </w:r>
      <w:proofErr w:type="gramEnd"/>
    </w:p>
    <w:p w:rsidR="00C01E98" w:rsidRPr="002012B5" w:rsidRDefault="00025692" w:rsidP="002012B5">
      <w:pPr>
        <w:rPr>
          <w:b/>
        </w:rPr>
      </w:pPr>
      <w:r w:rsidRPr="00025692">
        <w:rPr>
          <w:noProof/>
        </w:rPr>
        <w:pict>
          <v:shapetype id="_x0000_t32" coordsize="21600,21600" o:spt="32" o:oned="t" path="m,l21600,21600e" filled="f">
            <v:path arrowok="t" fillok="f" o:connecttype="none"/>
            <o:lock v:ext="edit" shapetype="t"/>
          </v:shapetype>
          <v:shape id="_x0000_s1026" type="#_x0000_t32" style="position:absolute;margin-left:-5.25pt;margin-top:10pt;width:468pt;height:0;z-index:251658240" o:connectortype="straight" strokeweight="1.5pt"/>
        </w:pict>
      </w:r>
    </w:p>
    <w:p w:rsidR="002012B5" w:rsidRDefault="002012B5" w:rsidP="002012B5">
      <w:pPr>
        <w:pStyle w:val="ListParagraph"/>
        <w:numPr>
          <w:ilvl w:val="0"/>
          <w:numId w:val="7"/>
        </w:numPr>
      </w:pPr>
      <w:r>
        <w:t>Multidisciplinary approach</w:t>
      </w:r>
    </w:p>
    <w:p w:rsidR="002012B5" w:rsidRDefault="002012B5" w:rsidP="002012B5">
      <w:pPr>
        <w:pStyle w:val="ListParagraph"/>
        <w:numPr>
          <w:ilvl w:val="0"/>
          <w:numId w:val="7"/>
        </w:numPr>
      </w:pPr>
      <w:r>
        <w:t>Withhold drug-maybe sufficient for mild bleeding</w:t>
      </w:r>
    </w:p>
    <w:p w:rsidR="002012B5" w:rsidRDefault="002012B5" w:rsidP="002012B5">
      <w:pPr>
        <w:pStyle w:val="ListParagraph"/>
        <w:numPr>
          <w:ilvl w:val="0"/>
          <w:numId w:val="7"/>
        </w:numPr>
      </w:pPr>
      <w:r w:rsidRPr="00C01E98">
        <w:rPr>
          <w:b/>
        </w:rPr>
        <w:t>General haemostatic and resuscitation measures</w:t>
      </w:r>
      <w:r>
        <w:t>: large bore iv access, bloods and clotting assays,mechanical pressure, fluid and / or blood administration</w:t>
      </w:r>
    </w:p>
    <w:p w:rsidR="002012B5" w:rsidRDefault="002012B5" w:rsidP="002012B5">
      <w:pPr>
        <w:pStyle w:val="ListParagraph"/>
        <w:numPr>
          <w:ilvl w:val="0"/>
          <w:numId w:val="7"/>
        </w:numPr>
      </w:pPr>
      <w:r w:rsidRPr="002012B5">
        <w:rPr>
          <w:b/>
        </w:rPr>
        <w:t>Mild:</w:t>
      </w:r>
      <w:r>
        <w:t xml:space="preserve"> as above plus TXA 15-25mg/kg orally</w:t>
      </w:r>
    </w:p>
    <w:p w:rsidR="002012B5" w:rsidRDefault="002012B5" w:rsidP="002012B5">
      <w:pPr>
        <w:pStyle w:val="ListParagraph"/>
        <w:numPr>
          <w:ilvl w:val="0"/>
          <w:numId w:val="7"/>
        </w:numPr>
      </w:pPr>
      <w:r w:rsidRPr="00C01E98">
        <w:rPr>
          <w:b/>
        </w:rPr>
        <w:t>Moderate - severe:</w:t>
      </w:r>
      <w:r>
        <w:t xml:space="preserve"> as general plus FFP 20 ml/kg + platelet transfusion (if &lt; 70 x109/L), TXA15mg/kg iv, consider PCC, e.g. </w:t>
      </w:r>
      <w:proofErr w:type="spellStart"/>
      <w:r>
        <w:t>Octaplex</w:t>
      </w:r>
      <w:proofErr w:type="spellEnd"/>
      <w:r>
        <w:t>® 30iu/kg(a)</w:t>
      </w:r>
    </w:p>
    <w:p w:rsidR="00687CC3" w:rsidRDefault="002012B5" w:rsidP="002012B5">
      <w:pPr>
        <w:pStyle w:val="ListParagraph"/>
        <w:numPr>
          <w:ilvl w:val="0"/>
          <w:numId w:val="7"/>
        </w:numPr>
      </w:pPr>
      <w:r w:rsidRPr="00C01E98">
        <w:rPr>
          <w:b/>
        </w:rPr>
        <w:t>Life-threatening:</w:t>
      </w:r>
      <w:r>
        <w:t xml:space="preserve"> as above plus PCC; consider charcoal (if within 2 hours of drug administration) CVVHF for </w:t>
      </w:r>
      <w:proofErr w:type="spellStart"/>
      <w:r>
        <w:t>dabigatran</w:t>
      </w:r>
      <w:proofErr w:type="spellEnd"/>
    </w:p>
    <w:p w:rsidR="00C01E98" w:rsidRDefault="00025692" w:rsidP="00C01E98">
      <w:r w:rsidRPr="00025692">
        <w:rPr>
          <w:noProof/>
        </w:rPr>
        <w:pict>
          <v:shape id="_x0000_s1027" type="#_x0000_t32" style="position:absolute;margin-left:.75pt;margin-top:4.75pt;width:468pt;height:0;z-index:251659264" o:connectortype="straight" strokeweight="1.5pt"/>
        </w:pict>
      </w:r>
    </w:p>
    <w:p w:rsidR="00C01E98" w:rsidRPr="00C01E98" w:rsidRDefault="00C01E98" w:rsidP="00C01E98">
      <w:pPr>
        <w:autoSpaceDE w:val="0"/>
        <w:autoSpaceDN w:val="0"/>
        <w:adjustRightInd w:val="0"/>
        <w:spacing w:after="0" w:line="240" w:lineRule="auto"/>
        <w:rPr>
          <w:rFonts w:cstheme="minorHAnsi"/>
          <w:sz w:val="20"/>
          <w:szCs w:val="16"/>
        </w:rPr>
      </w:pPr>
      <w:proofErr w:type="spellStart"/>
      <w:r w:rsidRPr="00C01E98">
        <w:rPr>
          <w:rFonts w:cstheme="minorHAnsi"/>
          <w:sz w:val="20"/>
          <w:szCs w:val="16"/>
        </w:rPr>
        <w:t>Octaplex</w:t>
      </w:r>
      <w:proofErr w:type="spellEnd"/>
      <w:r w:rsidRPr="00C01E98">
        <w:rPr>
          <w:rFonts w:cstheme="minorHAnsi"/>
          <w:sz w:val="20"/>
          <w:szCs w:val="16"/>
        </w:rPr>
        <w:t xml:space="preserve"> ® is a second generation human </w:t>
      </w:r>
      <w:proofErr w:type="spellStart"/>
      <w:r w:rsidRPr="00C01E98">
        <w:rPr>
          <w:rFonts w:cstheme="minorHAnsi"/>
          <w:sz w:val="20"/>
          <w:szCs w:val="16"/>
        </w:rPr>
        <w:t>prothrombin</w:t>
      </w:r>
      <w:proofErr w:type="spellEnd"/>
      <w:r w:rsidRPr="00C01E98">
        <w:rPr>
          <w:rFonts w:cstheme="minorHAnsi"/>
          <w:sz w:val="20"/>
          <w:szCs w:val="16"/>
        </w:rPr>
        <w:t xml:space="preserve"> complex concentrate.</w:t>
      </w:r>
    </w:p>
    <w:p w:rsidR="00C01E98" w:rsidRPr="00C01E98" w:rsidRDefault="00C01E98" w:rsidP="00C01E98">
      <w:pPr>
        <w:autoSpaceDE w:val="0"/>
        <w:autoSpaceDN w:val="0"/>
        <w:adjustRightInd w:val="0"/>
        <w:spacing w:after="0" w:line="240" w:lineRule="auto"/>
        <w:rPr>
          <w:rFonts w:cstheme="minorHAnsi"/>
          <w:sz w:val="20"/>
          <w:szCs w:val="16"/>
        </w:rPr>
      </w:pPr>
      <w:r w:rsidRPr="00C01E98">
        <w:rPr>
          <w:rFonts w:cstheme="minorHAnsi"/>
          <w:sz w:val="20"/>
          <w:szCs w:val="16"/>
        </w:rPr>
        <w:t xml:space="preserve">Abbreviations: TXA: </w:t>
      </w:r>
      <w:proofErr w:type="spellStart"/>
      <w:r w:rsidRPr="00C01E98">
        <w:rPr>
          <w:rFonts w:cstheme="minorHAnsi"/>
          <w:sz w:val="20"/>
          <w:szCs w:val="16"/>
        </w:rPr>
        <w:t>tranexamic</w:t>
      </w:r>
      <w:proofErr w:type="spellEnd"/>
      <w:r w:rsidRPr="00C01E98">
        <w:rPr>
          <w:rFonts w:cstheme="minorHAnsi"/>
          <w:sz w:val="20"/>
          <w:szCs w:val="16"/>
        </w:rPr>
        <w:t xml:space="preserve"> acid. FFP: fresh frozen plasma, PCC: </w:t>
      </w:r>
      <w:proofErr w:type="spellStart"/>
      <w:r w:rsidRPr="00C01E98">
        <w:rPr>
          <w:rFonts w:cstheme="minorHAnsi"/>
          <w:sz w:val="20"/>
          <w:szCs w:val="16"/>
        </w:rPr>
        <w:t>prothrombin</w:t>
      </w:r>
      <w:proofErr w:type="spellEnd"/>
      <w:r w:rsidRPr="00C01E98">
        <w:rPr>
          <w:rFonts w:cstheme="minorHAnsi"/>
          <w:sz w:val="20"/>
          <w:szCs w:val="16"/>
        </w:rPr>
        <w:t xml:space="preserve"> complex concentrate, CVVHF:</w:t>
      </w:r>
    </w:p>
    <w:p w:rsidR="00687CC3" w:rsidRPr="00C01E98" w:rsidRDefault="00C01E98" w:rsidP="00C01E98">
      <w:pPr>
        <w:rPr>
          <w:rFonts w:cstheme="minorHAnsi"/>
          <w:sz w:val="28"/>
        </w:rPr>
      </w:pPr>
      <w:r w:rsidRPr="00C01E98">
        <w:rPr>
          <w:rFonts w:cstheme="minorHAnsi"/>
          <w:sz w:val="20"/>
          <w:szCs w:val="16"/>
        </w:rPr>
        <w:t xml:space="preserve">Continuous </w:t>
      </w:r>
      <w:proofErr w:type="spellStart"/>
      <w:r w:rsidRPr="00C01E98">
        <w:rPr>
          <w:rFonts w:cstheme="minorHAnsi"/>
          <w:sz w:val="20"/>
          <w:szCs w:val="16"/>
        </w:rPr>
        <w:t>veno-venohaemofiltration</w:t>
      </w:r>
      <w:proofErr w:type="spellEnd"/>
    </w:p>
    <w:p w:rsidR="00687CC3" w:rsidRDefault="00687CC3" w:rsidP="00B94D32"/>
    <w:p w:rsidR="00687CC3" w:rsidRDefault="00600139" w:rsidP="00B94D32">
      <w:pPr>
        <w:rPr>
          <w:b/>
          <w:sz w:val="28"/>
        </w:rPr>
      </w:pPr>
      <w:r w:rsidRPr="00600139">
        <w:rPr>
          <w:b/>
          <w:sz w:val="28"/>
        </w:rPr>
        <w:t>Conclusions</w:t>
      </w:r>
    </w:p>
    <w:p w:rsidR="00687CC3" w:rsidRDefault="00173919" w:rsidP="00B94D32">
      <w:r w:rsidRPr="00173919">
        <w:rPr>
          <w:sz w:val="24"/>
        </w:rPr>
        <w:t>The use of anticoagulant and antiplatelet agents has been increasing, primarily as a result of improved life expectancy, the aging population, prevalence of cardiovascular disease, and expansion of indications for more potent, newer anticoagulants. New guidelines are emerging for safe perioperative management of patients on anticoagulant/antiplatelet agents with regard to regional anesthesia.The knowledge of drug pharmacology is the basis for establishing a safe time interval for performance of regional anesthesia.It is important that the decisions to discontinue and restart anticoagulants/antiplatelet agents be made after careful assessment of the risks of discontinuation (thrombosis risk) and continuation (bleeding risk). It is recommended that this be a shared decision-making process with the patient’s treating physician(s).</w:t>
      </w:r>
    </w:p>
    <w:p w:rsidR="00687CC3" w:rsidRDefault="00687CC3" w:rsidP="00B94D32">
      <w:r>
        <w:t>Ref:</w:t>
      </w:r>
    </w:p>
    <w:p w:rsidR="00687CC3" w:rsidRDefault="00687CC3" w:rsidP="00B94D32">
      <w:r>
        <w:t xml:space="preserve">1. </w:t>
      </w:r>
      <w:proofErr w:type="spellStart"/>
      <w:r w:rsidRPr="00687CC3">
        <w:t>Tryba</w:t>
      </w:r>
      <w:proofErr w:type="spellEnd"/>
      <w:r w:rsidRPr="00687CC3">
        <w:t xml:space="preserve"> M. Epidural regional anesthesia and low molecular heparin: Pro [in German]. </w:t>
      </w:r>
      <w:proofErr w:type="spellStart"/>
      <w:r w:rsidRPr="00687CC3">
        <w:t>AnasthesiolIntensivmedNotfallmedSchmerzther</w:t>
      </w:r>
      <w:proofErr w:type="spellEnd"/>
      <w:r w:rsidRPr="00687CC3">
        <w:t>. 1993</w:t>
      </w:r>
      <w:proofErr w:type="gramStart"/>
      <w:r w:rsidRPr="00687CC3">
        <w:t>;28</w:t>
      </w:r>
      <w:proofErr w:type="gramEnd"/>
      <w:r w:rsidRPr="00687CC3">
        <w:t>(3):179-181.</w:t>
      </w:r>
    </w:p>
    <w:p w:rsidR="003C66DB" w:rsidRDefault="003C66DB" w:rsidP="003C66DB">
      <w:r>
        <w:t xml:space="preserve">2. </w:t>
      </w:r>
      <w:proofErr w:type="spellStart"/>
      <w:r>
        <w:t>HorlockerTT,Wedel</w:t>
      </w:r>
      <w:proofErr w:type="spellEnd"/>
      <w:r>
        <w:t xml:space="preserve"> DJ, </w:t>
      </w:r>
      <w:proofErr w:type="spellStart"/>
      <w:r>
        <w:t>Rowlingson</w:t>
      </w:r>
      <w:proofErr w:type="spellEnd"/>
      <w:r>
        <w:t xml:space="preserve"> JC, et al. Regional anesthesia in the patient receiving antithrombotic therapy or thrombolytic therapy: American Society of Regional Anesthesia and Pain Medicine evidence-based guidelines (third edition). </w:t>
      </w:r>
      <w:proofErr w:type="spellStart"/>
      <w:r>
        <w:t>RegAnesth</w:t>
      </w:r>
      <w:proofErr w:type="spellEnd"/>
      <w:r>
        <w:t xml:space="preserve"> Pain Med 2010; 35: 64–101</w:t>
      </w:r>
    </w:p>
    <w:p w:rsidR="003C66DB" w:rsidRDefault="003C66DB" w:rsidP="003C66DB">
      <w:r>
        <w:t xml:space="preserve">3. </w:t>
      </w:r>
      <w:proofErr w:type="spellStart"/>
      <w:r>
        <w:t>Gogarten</w:t>
      </w:r>
      <w:proofErr w:type="spellEnd"/>
      <w:r>
        <w:t xml:space="preserve"> W, </w:t>
      </w:r>
      <w:proofErr w:type="spellStart"/>
      <w:r>
        <w:t>Vandermeulen</w:t>
      </w:r>
      <w:proofErr w:type="spellEnd"/>
      <w:r>
        <w:t xml:space="preserve"> E, Van </w:t>
      </w:r>
      <w:proofErr w:type="spellStart"/>
      <w:r>
        <w:t>Aken</w:t>
      </w:r>
      <w:proofErr w:type="spellEnd"/>
      <w:r>
        <w:t xml:space="preserve"> H, </w:t>
      </w:r>
      <w:proofErr w:type="spellStart"/>
      <w:r>
        <w:t>Kozek</w:t>
      </w:r>
      <w:proofErr w:type="spellEnd"/>
      <w:r>
        <w:t xml:space="preserve"> S, </w:t>
      </w:r>
      <w:proofErr w:type="spellStart"/>
      <w:r>
        <w:t>Llau</w:t>
      </w:r>
      <w:proofErr w:type="spellEnd"/>
      <w:r>
        <w:t xml:space="preserve"> JV, </w:t>
      </w:r>
      <w:proofErr w:type="spellStart"/>
      <w:r>
        <w:t>Samama</w:t>
      </w:r>
      <w:proofErr w:type="spellEnd"/>
      <w:r>
        <w:t xml:space="preserve"> CM, European Society of </w:t>
      </w:r>
      <w:proofErr w:type="spellStart"/>
      <w:r>
        <w:t>Anaesthesiology</w:t>
      </w:r>
      <w:proofErr w:type="spellEnd"/>
      <w:r>
        <w:t xml:space="preserve">. Regional </w:t>
      </w:r>
      <w:proofErr w:type="spellStart"/>
      <w:r>
        <w:t>anaesthesia</w:t>
      </w:r>
      <w:proofErr w:type="spellEnd"/>
      <w:r>
        <w:t xml:space="preserve"> and antithrombotic agents: recommendations of the European Society of </w:t>
      </w:r>
      <w:proofErr w:type="spellStart"/>
      <w:r>
        <w:t>Anaesthesiology</w:t>
      </w:r>
      <w:proofErr w:type="spellEnd"/>
      <w:r>
        <w:t xml:space="preserve">. </w:t>
      </w:r>
      <w:proofErr w:type="spellStart"/>
      <w:r>
        <w:t>Eur</w:t>
      </w:r>
      <w:proofErr w:type="spellEnd"/>
      <w:r>
        <w:t xml:space="preserve"> J </w:t>
      </w:r>
      <w:proofErr w:type="spellStart"/>
      <w:r>
        <w:t>Anaesthesiol</w:t>
      </w:r>
      <w:proofErr w:type="spellEnd"/>
      <w:r>
        <w:t xml:space="preserve"> 2010; 27: 999–1015</w:t>
      </w:r>
    </w:p>
    <w:p w:rsidR="003C66DB" w:rsidRDefault="003C66DB" w:rsidP="003C66DB">
      <w:r>
        <w:t xml:space="preserve">4. </w:t>
      </w:r>
      <w:proofErr w:type="spellStart"/>
      <w:r>
        <w:t>Breivik</w:t>
      </w:r>
      <w:proofErr w:type="spellEnd"/>
      <w:r>
        <w:t xml:space="preserve"> H, Bang U, </w:t>
      </w:r>
      <w:proofErr w:type="spellStart"/>
      <w:r>
        <w:t>Jalonen</w:t>
      </w:r>
      <w:proofErr w:type="spellEnd"/>
      <w:r>
        <w:t xml:space="preserve"> J, </w:t>
      </w:r>
      <w:proofErr w:type="spellStart"/>
      <w:r>
        <w:t>Vigfusson</w:t>
      </w:r>
      <w:proofErr w:type="spellEnd"/>
      <w:r>
        <w:t xml:space="preserve"> G, </w:t>
      </w:r>
      <w:proofErr w:type="spellStart"/>
      <w:r>
        <w:t>Alahuhta</w:t>
      </w:r>
      <w:proofErr w:type="spellEnd"/>
      <w:r>
        <w:t xml:space="preserve"> S, </w:t>
      </w:r>
      <w:proofErr w:type="spellStart"/>
      <w:r>
        <w:t>Lagerkranser</w:t>
      </w:r>
      <w:proofErr w:type="spellEnd"/>
      <w:r>
        <w:t xml:space="preserve"> M. Nordic guidelines for </w:t>
      </w:r>
      <w:proofErr w:type="spellStart"/>
      <w:r>
        <w:t>neuraxial</w:t>
      </w:r>
      <w:proofErr w:type="spellEnd"/>
      <w:r>
        <w:t xml:space="preserve"> blocks in disturbed </w:t>
      </w:r>
      <w:proofErr w:type="spellStart"/>
      <w:r>
        <w:t>haemostasis</w:t>
      </w:r>
      <w:proofErr w:type="spellEnd"/>
      <w:r>
        <w:t xml:space="preserve"> from the Scandinavian Society of </w:t>
      </w:r>
      <w:proofErr w:type="spellStart"/>
      <w:r>
        <w:t>Anaesthesiology</w:t>
      </w:r>
      <w:proofErr w:type="spellEnd"/>
      <w:r>
        <w:t xml:space="preserve"> and Intensive Care Medicine. </w:t>
      </w:r>
      <w:proofErr w:type="spellStart"/>
      <w:r>
        <w:t>ActaAnaesthesiolScand</w:t>
      </w:r>
      <w:proofErr w:type="spellEnd"/>
      <w:r>
        <w:t xml:space="preserve"> 2010; 54:16–41</w:t>
      </w:r>
    </w:p>
    <w:p w:rsidR="003A53FD" w:rsidRDefault="003A53FD" w:rsidP="003A53FD">
      <w:r>
        <w:t xml:space="preserve">5. </w:t>
      </w:r>
      <w:proofErr w:type="spellStart"/>
      <w:r>
        <w:t>Clemetson</w:t>
      </w:r>
      <w:proofErr w:type="spellEnd"/>
      <w:r>
        <w:t xml:space="preserve"> KJ. </w:t>
      </w:r>
      <w:proofErr w:type="gramStart"/>
      <w:r>
        <w:t xml:space="preserve">Platelets and primary </w:t>
      </w:r>
      <w:proofErr w:type="spellStart"/>
      <w:r>
        <w:t>haemostasis.Thromb</w:t>
      </w:r>
      <w:proofErr w:type="spellEnd"/>
      <w:r>
        <w:t xml:space="preserve"> Res 2012; 129:220–224.</w:t>
      </w:r>
      <w:proofErr w:type="gramEnd"/>
    </w:p>
    <w:p w:rsidR="003A53FD" w:rsidRDefault="003A53FD" w:rsidP="003A53FD">
      <w:r>
        <w:t xml:space="preserve">6. Garner </w:t>
      </w:r>
      <w:proofErr w:type="gramStart"/>
      <w:r>
        <w:t>A</w:t>
      </w:r>
      <w:proofErr w:type="gramEnd"/>
      <w:r>
        <w:t xml:space="preserve">, </w:t>
      </w:r>
      <w:proofErr w:type="spellStart"/>
      <w:r>
        <w:t>Pallister</w:t>
      </w:r>
      <w:proofErr w:type="spellEnd"/>
      <w:r>
        <w:t xml:space="preserve"> CJ, Watson M. </w:t>
      </w:r>
      <w:proofErr w:type="spellStart"/>
      <w:r>
        <w:t>Haematology</w:t>
      </w:r>
      <w:proofErr w:type="spellEnd"/>
      <w:r>
        <w:t xml:space="preserve">, second </w:t>
      </w:r>
      <w:proofErr w:type="spellStart"/>
      <w:r>
        <w:t>edn</w:t>
      </w:r>
      <w:proofErr w:type="spellEnd"/>
      <w:r>
        <w:t xml:space="preserve">. Scion Publishing Limited: </w:t>
      </w:r>
      <w:proofErr w:type="spellStart"/>
      <w:r>
        <w:t>Banbury</w:t>
      </w:r>
      <w:proofErr w:type="spellEnd"/>
      <w:r>
        <w:t>, UK, 2010.</w:t>
      </w:r>
    </w:p>
    <w:p w:rsidR="00FF5389" w:rsidRDefault="001D2FC1" w:rsidP="001D2FC1">
      <w:r>
        <w:t xml:space="preserve">7. </w:t>
      </w:r>
      <w:r w:rsidR="0000025C">
        <w:t xml:space="preserve">Price MJ, </w:t>
      </w:r>
      <w:proofErr w:type="spellStart"/>
      <w:r w:rsidR="0000025C">
        <w:t>Walder</w:t>
      </w:r>
      <w:proofErr w:type="spellEnd"/>
      <w:r w:rsidR="0000025C">
        <w:t xml:space="preserve"> JS, Baker BA, </w:t>
      </w:r>
      <w:proofErr w:type="spellStart"/>
      <w:r w:rsidR="0000025C">
        <w:t>Heiselman</w:t>
      </w:r>
      <w:proofErr w:type="spellEnd"/>
      <w:r w:rsidR="0000025C">
        <w:t xml:space="preserve"> DE, </w:t>
      </w:r>
      <w:proofErr w:type="spellStart"/>
      <w:r w:rsidR="0000025C">
        <w:t>Jakubowski</w:t>
      </w:r>
      <w:proofErr w:type="spellEnd"/>
      <w:r w:rsidR="0000025C">
        <w:t xml:space="preserve"> JA, Logan DK et al. Recovery of platelet function after discontinuation of </w:t>
      </w:r>
      <w:proofErr w:type="spellStart"/>
      <w:r w:rsidR="0000025C">
        <w:t>Prasugrel</w:t>
      </w:r>
      <w:proofErr w:type="spellEnd"/>
      <w:r w:rsidR="0000025C">
        <w:t xml:space="preserve"> or </w:t>
      </w:r>
      <w:proofErr w:type="spellStart"/>
      <w:r w:rsidR="0000025C">
        <w:t>Clopidogrel</w:t>
      </w:r>
      <w:proofErr w:type="spellEnd"/>
      <w:r w:rsidR="0000025C">
        <w:t xml:space="preserve"> maintenance dosing in aspirin treated patients with stable coronary disease. J Am </w:t>
      </w:r>
      <w:proofErr w:type="spellStart"/>
      <w:r w:rsidR="0000025C">
        <w:t>CollCardiol</w:t>
      </w:r>
      <w:proofErr w:type="spellEnd"/>
      <w:r w:rsidR="0000025C">
        <w:t>. 2012; 59(25):2338-2343</w:t>
      </w:r>
    </w:p>
    <w:p w:rsidR="001D2FC1" w:rsidRDefault="0000025C" w:rsidP="001D2FC1">
      <w:r>
        <w:t>8</w:t>
      </w:r>
      <w:r w:rsidR="00FF5389">
        <w:t xml:space="preserve">. </w:t>
      </w:r>
      <w:proofErr w:type="spellStart"/>
      <w:r w:rsidR="001D2FC1">
        <w:t>Horlocker</w:t>
      </w:r>
      <w:proofErr w:type="spellEnd"/>
      <w:r w:rsidR="001D2FC1">
        <w:t xml:space="preserve"> TT. </w:t>
      </w:r>
      <w:proofErr w:type="gramStart"/>
      <w:r w:rsidR="001D2FC1">
        <w:t xml:space="preserve">Regional </w:t>
      </w:r>
      <w:proofErr w:type="spellStart"/>
      <w:r w:rsidR="001D2FC1">
        <w:t>anaesthesia</w:t>
      </w:r>
      <w:proofErr w:type="spellEnd"/>
      <w:r w:rsidR="001D2FC1">
        <w:t xml:space="preserve"> in the patient receiving antithrombotic and antiplatelet therapy.</w:t>
      </w:r>
      <w:proofErr w:type="gramEnd"/>
      <w:r w:rsidR="001D2FC1">
        <w:t xml:space="preserve"> BJA 2011; 107 (S1): i96-i106</w:t>
      </w:r>
    </w:p>
    <w:p w:rsidR="00687CC3" w:rsidRDefault="00FF5389" w:rsidP="00B94D32">
      <w:r>
        <w:lastRenderedPageBreak/>
        <w:t xml:space="preserve">9. </w:t>
      </w:r>
      <w:r w:rsidR="0000025C" w:rsidRPr="00FF5389">
        <w:t xml:space="preserve">Mega JL, Close S, </w:t>
      </w:r>
      <w:proofErr w:type="spellStart"/>
      <w:r w:rsidR="0000025C" w:rsidRPr="00FF5389">
        <w:t>Wiviott</w:t>
      </w:r>
      <w:proofErr w:type="spellEnd"/>
      <w:r w:rsidR="0000025C" w:rsidRPr="00FF5389">
        <w:t xml:space="preserve"> SD et al. Genetic variants in ABCB1 and CYP2C19 and cardiovascular outcomes after treatment with </w:t>
      </w:r>
      <w:proofErr w:type="spellStart"/>
      <w:r w:rsidR="0000025C" w:rsidRPr="00FF5389">
        <w:t>clopidogrel</w:t>
      </w:r>
      <w:proofErr w:type="spellEnd"/>
      <w:r w:rsidR="0000025C" w:rsidRPr="00FF5389">
        <w:t xml:space="preserve"> and </w:t>
      </w:r>
      <w:proofErr w:type="spellStart"/>
      <w:r w:rsidR="0000025C" w:rsidRPr="00FF5389">
        <w:t>prasugrel</w:t>
      </w:r>
      <w:proofErr w:type="spellEnd"/>
      <w:r w:rsidR="0000025C" w:rsidRPr="00FF5389">
        <w:t xml:space="preserve"> in the TRITON–TIMI 38 trial: a </w:t>
      </w:r>
      <w:proofErr w:type="spellStart"/>
      <w:r w:rsidR="0000025C" w:rsidRPr="00FF5389">
        <w:t>pharmacogenetic</w:t>
      </w:r>
      <w:proofErr w:type="spellEnd"/>
      <w:r w:rsidR="0000025C" w:rsidRPr="00FF5389">
        <w:t xml:space="preserve"> analysis. </w:t>
      </w:r>
      <w:proofErr w:type="gramStart"/>
      <w:r w:rsidR="0000025C" w:rsidRPr="00FF5389">
        <w:t>Lancet 376, 1312–1319 (2010).</w:t>
      </w:r>
      <w:proofErr w:type="gramEnd"/>
    </w:p>
    <w:p w:rsidR="00687CC3" w:rsidRDefault="00DD4646" w:rsidP="00B94D32">
      <w:r>
        <w:t xml:space="preserve">10. </w:t>
      </w:r>
      <w:r w:rsidR="00EA4708" w:rsidRPr="00EA4708">
        <w:t xml:space="preserve">McMillian WD, Rogers FB. Management of </w:t>
      </w:r>
      <w:proofErr w:type="spellStart"/>
      <w:r w:rsidR="00EA4708" w:rsidRPr="00EA4708">
        <w:t>prehospital</w:t>
      </w:r>
      <w:proofErr w:type="spellEnd"/>
      <w:r w:rsidR="00EA4708" w:rsidRPr="00EA4708">
        <w:t xml:space="preserve"> </w:t>
      </w:r>
      <w:proofErr w:type="spellStart"/>
      <w:r w:rsidR="00EA4708" w:rsidRPr="00EA4708">
        <w:t>antiplatelet</w:t>
      </w:r>
      <w:proofErr w:type="spellEnd"/>
      <w:r w:rsidR="00EA4708" w:rsidRPr="00EA4708">
        <w:t xml:space="preserve"> and anticoagulant therapy in traumatic head injury: a review. </w:t>
      </w:r>
      <w:proofErr w:type="gramStart"/>
      <w:r w:rsidR="00EA4708" w:rsidRPr="00EA4708">
        <w:t>J Trauma.</w:t>
      </w:r>
      <w:proofErr w:type="gramEnd"/>
      <w:r w:rsidR="00EA4708" w:rsidRPr="00EA4708">
        <w:t xml:space="preserve"> 2009</w:t>
      </w:r>
      <w:proofErr w:type="gramStart"/>
      <w:r w:rsidR="00EA4708" w:rsidRPr="00EA4708">
        <w:t>;66:942</w:t>
      </w:r>
      <w:proofErr w:type="gramEnd"/>
      <w:r w:rsidR="00EA4708" w:rsidRPr="00EA4708">
        <w:t>-50.</w:t>
      </w:r>
    </w:p>
    <w:p w:rsidR="00DD4646" w:rsidRDefault="00DD4646" w:rsidP="00B94D32">
      <w:r>
        <w:t xml:space="preserve">11. </w:t>
      </w:r>
      <w:proofErr w:type="spellStart"/>
      <w:r w:rsidR="00EA4708" w:rsidRPr="00DD4646">
        <w:t>Sugidachi</w:t>
      </w:r>
      <w:proofErr w:type="spellEnd"/>
      <w:r w:rsidR="00EA4708" w:rsidRPr="00DD4646">
        <w:t xml:space="preserve"> A, Ogawa T, </w:t>
      </w:r>
      <w:proofErr w:type="spellStart"/>
      <w:r w:rsidR="00EA4708" w:rsidRPr="00DD4646">
        <w:t>Kurihara</w:t>
      </w:r>
      <w:proofErr w:type="spellEnd"/>
      <w:r w:rsidR="00EA4708" w:rsidRPr="00DD4646">
        <w:t xml:space="preserve"> A, </w:t>
      </w:r>
      <w:proofErr w:type="spellStart"/>
      <w:r w:rsidR="00EA4708" w:rsidRPr="00DD4646">
        <w:t>Hagihara</w:t>
      </w:r>
      <w:proofErr w:type="spellEnd"/>
      <w:r w:rsidR="00EA4708" w:rsidRPr="00DD4646">
        <w:t xml:space="preserve"> K, </w:t>
      </w:r>
      <w:proofErr w:type="spellStart"/>
      <w:r w:rsidR="00EA4708" w:rsidRPr="00DD4646">
        <w:t>Jakubowski</w:t>
      </w:r>
      <w:proofErr w:type="spellEnd"/>
      <w:r w:rsidR="00EA4708" w:rsidRPr="00DD4646">
        <w:t xml:space="preserve"> JA, Hashimoto M, et al. The greater in vivo </w:t>
      </w:r>
      <w:proofErr w:type="spellStart"/>
      <w:r w:rsidR="00EA4708" w:rsidRPr="00DD4646">
        <w:t>antiplatelet</w:t>
      </w:r>
      <w:proofErr w:type="spellEnd"/>
      <w:r w:rsidR="00EA4708" w:rsidRPr="00DD4646">
        <w:t xml:space="preserve"> effects of </w:t>
      </w:r>
      <w:proofErr w:type="spellStart"/>
      <w:r w:rsidR="00EA4708" w:rsidRPr="00DD4646">
        <w:t>prasugrel</w:t>
      </w:r>
      <w:proofErr w:type="spellEnd"/>
      <w:r w:rsidR="00EA4708" w:rsidRPr="00DD4646">
        <w:t xml:space="preserve"> as compared to </w:t>
      </w:r>
      <w:proofErr w:type="spellStart"/>
      <w:r w:rsidR="00EA4708" w:rsidRPr="00DD4646">
        <w:t>clopidogrel</w:t>
      </w:r>
      <w:proofErr w:type="spellEnd"/>
      <w:r w:rsidR="00EA4708" w:rsidRPr="00DD4646">
        <w:t xml:space="preserve"> reflect more efficient generation of its active metabolite with similar antiplatelet activity to that of </w:t>
      </w:r>
      <w:proofErr w:type="spellStart"/>
      <w:r w:rsidR="00EA4708" w:rsidRPr="00DD4646">
        <w:t>clopidogrel's</w:t>
      </w:r>
      <w:proofErr w:type="spellEnd"/>
      <w:r w:rsidR="00EA4708" w:rsidRPr="00DD4646">
        <w:t xml:space="preserve"> active metabolite. </w:t>
      </w:r>
      <w:proofErr w:type="gramStart"/>
      <w:r w:rsidR="00EA4708" w:rsidRPr="00DD4646">
        <w:t xml:space="preserve">J </w:t>
      </w:r>
      <w:proofErr w:type="spellStart"/>
      <w:r w:rsidR="00EA4708" w:rsidRPr="00DD4646">
        <w:t>ThrombHaemost</w:t>
      </w:r>
      <w:proofErr w:type="spellEnd"/>
      <w:r w:rsidR="00EA4708" w:rsidRPr="00DD4646">
        <w:t>.</w:t>
      </w:r>
      <w:proofErr w:type="gramEnd"/>
      <w:r w:rsidR="00EA4708" w:rsidRPr="00DD4646">
        <w:t xml:space="preserve"> 2007</w:t>
      </w:r>
      <w:proofErr w:type="gramStart"/>
      <w:r w:rsidR="00EA4708" w:rsidRPr="00DD4646">
        <w:t>;5:1545</w:t>
      </w:r>
      <w:proofErr w:type="gramEnd"/>
      <w:r w:rsidR="00EA4708" w:rsidRPr="00DD4646">
        <w:t>–</w:t>
      </w:r>
    </w:p>
    <w:p w:rsidR="00687CC3" w:rsidRDefault="00EA4708" w:rsidP="00B94D32">
      <w:r>
        <w:t xml:space="preserve">12. </w:t>
      </w:r>
      <w:r w:rsidRPr="00DD4646">
        <w:t xml:space="preserve">1551Hagihara K, </w:t>
      </w:r>
      <w:proofErr w:type="spellStart"/>
      <w:r w:rsidRPr="00DD4646">
        <w:t>Kazui</w:t>
      </w:r>
      <w:proofErr w:type="spellEnd"/>
      <w:r w:rsidRPr="00DD4646">
        <w:t xml:space="preserve"> M, </w:t>
      </w:r>
      <w:proofErr w:type="spellStart"/>
      <w:r w:rsidRPr="00DD4646">
        <w:t>Ikenaga</w:t>
      </w:r>
      <w:proofErr w:type="spellEnd"/>
      <w:r w:rsidRPr="00DD4646">
        <w:t xml:space="preserve"> H, Nanba T, </w:t>
      </w:r>
      <w:proofErr w:type="spellStart"/>
      <w:r w:rsidRPr="00DD4646">
        <w:t>Fusegawa</w:t>
      </w:r>
      <w:proofErr w:type="spellEnd"/>
      <w:r w:rsidRPr="00DD4646">
        <w:t xml:space="preserve"> K, Takahashi M, et al. Comparison of formation of </w:t>
      </w:r>
      <w:proofErr w:type="spellStart"/>
      <w:r w:rsidRPr="00DD4646">
        <w:t>thiolactones</w:t>
      </w:r>
      <w:proofErr w:type="spellEnd"/>
      <w:r w:rsidRPr="00DD4646">
        <w:t xml:space="preserve"> and active metabolites of </w:t>
      </w:r>
      <w:proofErr w:type="spellStart"/>
      <w:r w:rsidRPr="00DD4646">
        <w:t>prasugrel</w:t>
      </w:r>
      <w:proofErr w:type="spellEnd"/>
      <w:r w:rsidRPr="00DD4646">
        <w:t xml:space="preserve"> and </w:t>
      </w:r>
      <w:proofErr w:type="spellStart"/>
      <w:r w:rsidRPr="00DD4646">
        <w:t>clopidogrel</w:t>
      </w:r>
      <w:proofErr w:type="spellEnd"/>
      <w:r w:rsidRPr="00DD4646">
        <w:t xml:space="preserve"> in rats and dogs. </w:t>
      </w:r>
      <w:proofErr w:type="spellStart"/>
      <w:proofErr w:type="gramStart"/>
      <w:r w:rsidRPr="00DD4646">
        <w:t>Xenobiotica</w:t>
      </w:r>
      <w:proofErr w:type="spellEnd"/>
      <w:r w:rsidRPr="00DD4646">
        <w:t>.</w:t>
      </w:r>
      <w:proofErr w:type="gramEnd"/>
      <w:r w:rsidRPr="00DD4646">
        <w:t xml:space="preserve"> 2009</w:t>
      </w:r>
      <w:proofErr w:type="gramStart"/>
      <w:r w:rsidRPr="00DD4646">
        <w:t>;39:218</w:t>
      </w:r>
      <w:proofErr w:type="gramEnd"/>
      <w:r w:rsidRPr="00DD4646">
        <w:t>–226.</w:t>
      </w:r>
    </w:p>
    <w:p w:rsidR="00DD4646" w:rsidRDefault="00EA4708" w:rsidP="00DD4646">
      <w:r>
        <w:t xml:space="preserve"> 13. </w:t>
      </w:r>
      <w:r w:rsidR="00F133FC" w:rsidRPr="00F133FC">
        <w:t xml:space="preserve">Storey RF. Pharmacology and clinical trials of reversibly-binding P2Y12 inhibitors. </w:t>
      </w:r>
      <w:proofErr w:type="gramStart"/>
      <w:r w:rsidR="00F133FC" w:rsidRPr="00F133FC">
        <w:t>Thromb.Haemost.105, S75–S81 (2011).</w:t>
      </w:r>
      <w:proofErr w:type="gramEnd"/>
    </w:p>
    <w:p w:rsidR="00687CC3" w:rsidRDefault="0063062E" w:rsidP="00B94D32">
      <w:r>
        <w:t xml:space="preserve">14. </w:t>
      </w:r>
      <w:proofErr w:type="spellStart"/>
      <w:r w:rsidRPr="0063062E">
        <w:t>Gurbel</w:t>
      </w:r>
      <w:proofErr w:type="spellEnd"/>
      <w:r w:rsidRPr="0063062E">
        <w:t xml:space="preserve"> PA, </w:t>
      </w:r>
      <w:proofErr w:type="spellStart"/>
      <w:r w:rsidRPr="0063062E">
        <w:t>Bliden</w:t>
      </w:r>
      <w:proofErr w:type="spellEnd"/>
      <w:r w:rsidRPr="0063062E">
        <w:t xml:space="preserve"> K, Butler K et al. Randomized double-blind assessment of the ONSET and OFFSET of the </w:t>
      </w:r>
      <w:proofErr w:type="spellStart"/>
      <w:r w:rsidRPr="0063062E">
        <w:t>antiplatelet</w:t>
      </w:r>
      <w:proofErr w:type="spellEnd"/>
      <w:r w:rsidRPr="0063062E">
        <w:t xml:space="preserve"> effects of </w:t>
      </w:r>
      <w:proofErr w:type="spellStart"/>
      <w:r w:rsidRPr="0063062E">
        <w:t>ticagrelor</w:t>
      </w:r>
      <w:proofErr w:type="spellEnd"/>
      <w:r w:rsidRPr="0063062E">
        <w:t xml:space="preserve"> versus </w:t>
      </w:r>
      <w:proofErr w:type="spellStart"/>
      <w:r w:rsidRPr="0063062E">
        <w:t>clopidogrel</w:t>
      </w:r>
      <w:proofErr w:type="spellEnd"/>
      <w:r w:rsidRPr="0063062E">
        <w:t xml:space="preserve"> in patients with stable coronary artery disease: the ONSET/OFFSET study. </w:t>
      </w:r>
      <w:proofErr w:type="gramStart"/>
      <w:r w:rsidRPr="0063062E">
        <w:t>Circulation 120, 2577–2585 (2009).</w:t>
      </w:r>
      <w:proofErr w:type="gramEnd"/>
    </w:p>
    <w:p w:rsidR="00F449EE" w:rsidRDefault="00F449EE" w:rsidP="00B94D32">
      <w:r>
        <w:t xml:space="preserve">15. </w:t>
      </w:r>
      <w:proofErr w:type="spellStart"/>
      <w:r w:rsidRPr="00F449EE">
        <w:t>Tripodi</w:t>
      </w:r>
      <w:proofErr w:type="spellEnd"/>
      <w:r w:rsidRPr="00F449EE">
        <w:t xml:space="preserve"> A. </w:t>
      </w:r>
      <w:proofErr w:type="gramStart"/>
      <w:r w:rsidRPr="00F449EE">
        <w:t>The laboratory and the direct oral anticoagulants.Blood.</w:t>
      </w:r>
      <w:proofErr w:type="gramEnd"/>
      <w:r w:rsidRPr="00F449EE">
        <w:t xml:space="preserve"> 2013</w:t>
      </w:r>
      <w:proofErr w:type="gramStart"/>
      <w:r w:rsidRPr="00F449EE">
        <w:t>;121</w:t>
      </w:r>
      <w:proofErr w:type="gramEnd"/>
      <w:r w:rsidRPr="00F449EE">
        <w:t>(20):4032-4035</w:t>
      </w:r>
    </w:p>
    <w:p w:rsidR="006A6824" w:rsidRDefault="006A6824" w:rsidP="006A6824">
      <w:r>
        <w:t xml:space="preserve">16. </w:t>
      </w:r>
      <w:proofErr w:type="spellStart"/>
      <w:r w:rsidRPr="006A6824">
        <w:t>Narouze</w:t>
      </w:r>
      <w:proofErr w:type="spellEnd"/>
      <w:r w:rsidRPr="006A6824">
        <w:t xml:space="preserve">, </w:t>
      </w:r>
      <w:proofErr w:type="spellStart"/>
      <w:r w:rsidRPr="006A6824">
        <w:t>Samer</w:t>
      </w:r>
      <w:proofErr w:type="spellEnd"/>
      <w:r w:rsidRPr="006A6824">
        <w:t xml:space="preserve"> MD, </w:t>
      </w:r>
      <w:proofErr w:type="gramStart"/>
      <w:r w:rsidRPr="006A6824">
        <w:t xml:space="preserve">PhD </w:t>
      </w:r>
      <w:r>
        <w:t xml:space="preserve"> et.al</w:t>
      </w:r>
      <w:proofErr w:type="gramEnd"/>
      <w:r>
        <w:t xml:space="preserve">. </w:t>
      </w:r>
      <w:r w:rsidRPr="006A6824">
        <w:t xml:space="preserve">Interventional Spine and Pain Procedures in Patients on Antiplatelet and Anticoagulant Medications: Guidelines From the American Society of Regional Anesthesia and Pain Medicine, the European Society of Regional </w:t>
      </w:r>
      <w:proofErr w:type="spellStart"/>
      <w:r w:rsidRPr="006A6824">
        <w:t>Anaesthesia</w:t>
      </w:r>
      <w:proofErr w:type="spellEnd"/>
      <w:r w:rsidRPr="006A6824">
        <w:t xml:space="preserve"> and Pain Therapy, the American Academy of Pain Medicine, the International </w:t>
      </w:r>
      <w:proofErr w:type="spellStart"/>
      <w:r w:rsidRPr="006A6824">
        <w:t>Neuromodulation</w:t>
      </w:r>
      <w:proofErr w:type="spellEnd"/>
      <w:r w:rsidRPr="006A6824">
        <w:t xml:space="preserve"> Society, the North American </w:t>
      </w:r>
      <w:proofErr w:type="spellStart"/>
      <w:r w:rsidRPr="006A6824">
        <w:t>Neuromodulation</w:t>
      </w:r>
      <w:proofErr w:type="spellEnd"/>
      <w:r w:rsidRPr="006A6824">
        <w:t xml:space="preserve"> Society, and the World Institute of Pain</w:t>
      </w:r>
      <w:r>
        <w:t>.Regional Anesthesia &amp; Pain Medicine: May/June 2015 - Volume 40 - Issue 3 - p 182–212.</w:t>
      </w:r>
    </w:p>
    <w:p w:rsidR="006D2C83" w:rsidRDefault="006A6824" w:rsidP="006D2C83">
      <w:r>
        <w:t xml:space="preserve">17.  </w:t>
      </w:r>
      <w:r w:rsidR="006D2C83" w:rsidRPr="006D2C83">
        <w:t xml:space="preserve">Meyer Michel </w:t>
      </w:r>
      <w:proofErr w:type="spellStart"/>
      <w:r w:rsidR="006D2C83" w:rsidRPr="006D2C83">
        <w:t>Samama</w:t>
      </w:r>
      <w:proofErr w:type="spellEnd"/>
      <w:r w:rsidR="006D2C83">
        <w:t xml:space="preserve"> et.al. </w:t>
      </w:r>
      <w:r w:rsidR="006D2C83" w:rsidRPr="006D2C83">
        <w:t xml:space="preserve">Laboratory assessment of </w:t>
      </w:r>
      <w:proofErr w:type="spellStart"/>
      <w:r w:rsidR="006D2C83" w:rsidRPr="006D2C83">
        <w:t>rivaroxaban</w:t>
      </w:r>
      <w:proofErr w:type="spellEnd"/>
      <w:r w:rsidR="006D2C83" w:rsidRPr="006D2C83">
        <w:t>: a review</w:t>
      </w:r>
      <w:r w:rsidR="006D2C83">
        <w:t xml:space="preserve">. Thrombosis Journal201311:11.  </w:t>
      </w:r>
    </w:p>
    <w:p w:rsidR="006A6824" w:rsidRDefault="001D263A" w:rsidP="001D263A">
      <w:r>
        <w:t xml:space="preserve">18. </w:t>
      </w:r>
      <w:proofErr w:type="spellStart"/>
      <w:r>
        <w:t>Breivik</w:t>
      </w:r>
      <w:proofErr w:type="spellEnd"/>
      <w:r>
        <w:t xml:space="preserve"> H, Bang U, </w:t>
      </w:r>
      <w:proofErr w:type="spellStart"/>
      <w:r>
        <w:t>Jalonen</w:t>
      </w:r>
      <w:proofErr w:type="spellEnd"/>
      <w:r>
        <w:t xml:space="preserve"> J, </w:t>
      </w:r>
      <w:proofErr w:type="spellStart"/>
      <w:r>
        <w:t>Vigfusson</w:t>
      </w:r>
      <w:proofErr w:type="spellEnd"/>
      <w:r>
        <w:t xml:space="preserve"> G, </w:t>
      </w:r>
      <w:proofErr w:type="spellStart"/>
      <w:r>
        <w:t>Alahuhta</w:t>
      </w:r>
      <w:proofErr w:type="spellEnd"/>
      <w:r>
        <w:t xml:space="preserve"> S, </w:t>
      </w:r>
      <w:proofErr w:type="spellStart"/>
      <w:r>
        <w:t>Lagerkranser</w:t>
      </w:r>
      <w:proofErr w:type="spellEnd"/>
      <w:r>
        <w:t xml:space="preserve"> M. Nordic guidelines for </w:t>
      </w:r>
      <w:proofErr w:type="spellStart"/>
      <w:r>
        <w:t>neuraxial</w:t>
      </w:r>
      <w:proofErr w:type="spellEnd"/>
      <w:r>
        <w:t xml:space="preserve"> blocks in disturbed </w:t>
      </w:r>
      <w:proofErr w:type="spellStart"/>
      <w:r>
        <w:t>haemostasis</w:t>
      </w:r>
      <w:proofErr w:type="spellEnd"/>
      <w:r>
        <w:t xml:space="preserve"> from the Scandinavian Society of </w:t>
      </w:r>
      <w:proofErr w:type="spellStart"/>
      <w:r>
        <w:t>Anaesthesiology</w:t>
      </w:r>
      <w:proofErr w:type="spellEnd"/>
      <w:r>
        <w:t xml:space="preserve"> and Intensive Care Medicine. </w:t>
      </w:r>
      <w:proofErr w:type="spellStart"/>
      <w:r>
        <w:t>ActaAnaesthesiolScand</w:t>
      </w:r>
      <w:proofErr w:type="spellEnd"/>
      <w:r>
        <w:t xml:space="preserve"> 2010; 54: 16–41.</w:t>
      </w:r>
    </w:p>
    <w:p w:rsidR="001D263A" w:rsidRDefault="001D263A" w:rsidP="001D263A">
      <w:r>
        <w:t xml:space="preserve">19. </w:t>
      </w:r>
      <w:proofErr w:type="spellStart"/>
      <w:r>
        <w:t>Gogarten</w:t>
      </w:r>
      <w:proofErr w:type="spellEnd"/>
      <w:r>
        <w:t xml:space="preserve"> W, </w:t>
      </w:r>
      <w:proofErr w:type="spellStart"/>
      <w:r>
        <w:t>Vandermeulen</w:t>
      </w:r>
      <w:proofErr w:type="spellEnd"/>
      <w:r>
        <w:t xml:space="preserve"> E, Van </w:t>
      </w:r>
      <w:proofErr w:type="spellStart"/>
      <w:r>
        <w:t>Aken</w:t>
      </w:r>
      <w:proofErr w:type="spellEnd"/>
      <w:r>
        <w:t xml:space="preserve"> H, </w:t>
      </w:r>
      <w:proofErr w:type="spellStart"/>
      <w:r>
        <w:t>Kozek</w:t>
      </w:r>
      <w:proofErr w:type="spellEnd"/>
      <w:r>
        <w:t xml:space="preserve"> S, </w:t>
      </w:r>
      <w:proofErr w:type="spellStart"/>
      <w:r>
        <w:t>Llau</w:t>
      </w:r>
      <w:proofErr w:type="spellEnd"/>
      <w:r>
        <w:t xml:space="preserve"> JV, </w:t>
      </w:r>
      <w:proofErr w:type="spellStart"/>
      <w:r>
        <w:t>Samama</w:t>
      </w:r>
      <w:proofErr w:type="spellEnd"/>
      <w:r>
        <w:t xml:space="preserve"> CM, European Society of </w:t>
      </w:r>
      <w:proofErr w:type="spellStart"/>
      <w:r>
        <w:t>Anaesthesiology</w:t>
      </w:r>
      <w:proofErr w:type="spellEnd"/>
      <w:r>
        <w:t xml:space="preserve">. Regional </w:t>
      </w:r>
      <w:proofErr w:type="spellStart"/>
      <w:r>
        <w:t>anaesthesia</w:t>
      </w:r>
      <w:proofErr w:type="spellEnd"/>
      <w:r>
        <w:t xml:space="preserve"> and antithrombotic agents: recommendations of the European Society of </w:t>
      </w:r>
      <w:proofErr w:type="spellStart"/>
      <w:r>
        <w:t>Anaesthesiology</w:t>
      </w:r>
      <w:proofErr w:type="spellEnd"/>
      <w:r>
        <w:t xml:space="preserve">. </w:t>
      </w:r>
      <w:proofErr w:type="spellStart"/>
      <w:r>
        <w:t>Eur</w:t>
      </w:r>
      <w:proofErr w:type="spellEnd"/>
      <w:r>
        <w:t xml:space="preserve"> J </w:t>
      </w:r>
      <w:proofErr w:type="spellStart"/>
      <w:r>
        <w:t>Anaesthesiol</w:t>
      </w:r>
      <w:proofErr w:type="spellEnd"/>
      <w:r>
        <w:t xml:space="preserve"> 2010; 27: 999–1015.</w:t>
      </w:r>
    </w:p>
    <w:p w:rsidR="008A4106" w:rsidRDefault="008A4106" w:rsidP="008A4106">
      <w:r>
        <w:lastRenderedPageBreak/>
        <w:t xml:space="preserve">20. </w:t>
      </w:r>
      <w:proofErr w:type="spellStart"/>
      <w:r>
        <w:t>Gogarten</w:t>
      </w:r>
      <w:proofErr w:type="spellEnd"/>
      <w:r>
        <w:t xml:space="preserve"> W, </w:t>
      </w:r>
      <w:proofErr w:type="spellStart"/>
      <w:r>
        <w:t>Vandermeulen</w:t>
      </w:r>
      <w:proofErr w:type="spellEnd"/>
      <w:r>
        <w:t xml:space="preserve"> E, Van </w:t>
      </w:r>
      <w:proofErr w:type="spellStart"/>
      <w:r>
        <w:t>Aken</w:t>
      </w:r>
      <w:proofErr w:type="spellEnd"/>
      <w:r>
        <w:t xml:space="preserve"> H, </w:t>
      </w:r>
      <w:proofErr w:type="spellStart"/>
      <w:r>
        <w:t>Kozek</w:t>
      </w:r>
      <w:proofErr w:type="spellEnd"/>
      <w:r>
        <w:t xml:space="preserve"> S, </w:t>
      </w:r>
      <w:proofErr w:type="spellStart"/>
      <w:r>
        <w:t>Llau</w:t>
      </w:r>
      <w:proofErr w:type="spellEnd"/>
      <w:r>
        <w:t xml:space="preserve"> J V, </w:t>
      </w:r>
      <w:proofErr w:type="spellStart"/>
      <w:r>
        <w:t>Samama</w:t>
      </w:r>
      <w:proofErr w:type="spellEnd"/>
      <w:r>
        <w:t xml:space="preserve"> C. Regional </w:t>
      </w:r>
      <w:proofErr w:type="spellStart"/>
      <w:r>
        <w:t>anaesthesia</w:t>
      </w:r>
      <w:proofErr w:type="spellEnd"/>
      <w:r>
        <w:t xml:space="preserve"> and antithrombotic agents: recommendations of the European Society of </w:t>
      </w:r>
      <w:proofErr w:type="spellStart"/>
      <w:r>
        <w:t>Anaesthesiology</w:t>
      </w:r>
      <w:proofErr w:type="spellEnd"/>
      <w:r>
        <w:t xml:space="preserve">. </w:t>
      </w:r>
      <w:proofErr w:type="spellStart"/>
      <w:r>
        <w:t>Eur</w:t>
      </w:r>
      <w:proofErr w:type="spellEnd"/>
      <w:r>
        <w:t xml:space="preserve"> J </w:t>
      </w:r>
      <w:proofErr w:type="spellStart"/>
      <w:r>
        <w:t>Anaesthesiol</w:t>
      </w:r>
      <w:proofErr w:type="spellEnd"/>
      <w:r>
        <w:t xml:space="preserve"> 2010; 27: 999-1015.</w:t>
      </w:r>
    </w:p>
    <w:p w:rsidR="008A4106" w:rsidRDefault="008A4106" w:rsidP="008A4106">
      <w:r>
        <w:t xml:space="preserve">21. </w:t>
      </w:r>
      <w:proofErr w:type="spellStart"/>
      <w:r>
        <w:t>Gulseth</w:t>
      </w:r>
      <w:proofErr w:type="spellEnd"/>
      <w:r>
        <w:t xml:space="preserve"> MP, </w:t>
      </w:r>
      <w:proofErr w:type="spellStart"/>
      <w:r>
        <w:t>Wittkowsky</w:t>
      </w:r>
      <w:proofErr w:type="spellEnd"/>
      <w:r>
        <w:t xml:space="preserve"> AK, </w:t>
      </w:r>
      <w:proofErr w:type="spellStart"/>
      <w:r>
        <w:t>Fanikos</w:t>
      </w:r>
      <w:proofErr w:type="spellEnd"/>
      <w:r>
        <w:t xml:space="preserve"> J, </w:t>
      </w:r>
      <w:proofErr w:type="spellStart"/>
      <w:r>
        <w:t>Spinler</w:t>
      </w:r>
      <w:proofErr w:type="spellEnd"/>
      <w:r>
        <w:t xml:space="preserve"> SA, </w:t>
      </w:r>
      <w:proofErr w:type="spellStart"/>
      <w:r>
        <w:t>Dager</w:t>
      </w:r>
      <w:proofErr w:type="spellEnd"/>
      <w:r>
        <w:t xml:space="preserve"> WE. </w:t>
      </w:r>
      <w:proofErr w:type="spellStart"/>
      <w:proofErr w:type="gramStart"/>
      <w:r>
        <w:t>DabigatranEtexilate</w:t>
      </w:r>
      <w:proofErr w:type="spellEnd"/>
      <w:r>
        <w:t xml:space="preserve"> in Clinical Practice.</w:t>
      </w:r>
      <w:proofErr w:type="gramEnd"/>
      <w:r>
        <w:t xml:space="preserve"> Pharmacotherapy 2011</w:t>
      </w:r>
      <w:proofErr w:type="gramStart"/>
      <w:r>
        <w:t>;31</w:t>
      </w:r>
      <w:proofErr w:type="gramEnd"/>
      <w:r>
        <w:t xml:space="preserve">(12):1232-1249. </w:t>
      </w:r>
    </w:p>
    <w:p w:rsidR="001D263A" w:rsidRDefault="00465848" w:rsidP="001D263A">
      <w:r>
        <w:t xml:space="preserve">22. </w:t>
      </w:r>
      <w:proofErr w:type="spellStart"/>
      <w:r w:rsidRPr="00465848">
        <w:t>Powner</w:t>
      </w:r>
      <w:proofErr w:type="spellEnd"/>
      <w:r w:rsidRPr="00465848">
        <w:t xml:space="preserve"> DJ, Hartwell EA, Hoots WK, et.al. Counteracting the effects of anticoagulants </w:t>
      </w:r>
      <w:proofErr w:type="spellStart"/>
      <w:r w:rsidRPr="00465848">
        <w:t>oand</w:t>
      </w:r>
      <w:proofErr w:type="spellEnd"/>
      <w:r w:rsidRPr="00465848">
        <w:t xml:space="preserve"> </w:t>
      </w:r>
      <w:proofErr w:type="spellStart"/>
      <w:r w:rsidRPr="00465848">
        <w:t>antiplatelet</w:t>
      </w:r>
      <w:proofErr w:type="spellEnd"/>
      <w:r w:rsidRPr="00465848">
        <w:t xml:space="preserve"> agents during neurosurgical emergencies.Neurosurgery.2005; 57:823-31.</w:t>
      </w:r>
    </w:p>
    <w:p w:rsidR="00687CC3" w:rsidRDefault="002012B5" w:rsidP="00B94D32">
      <w:r>
        <w:t xml:space="preserve">23. </w:t>
      </w:r>
      <w:proofErr w:type="spellStart"/>
      <w:r w:rsidRPr="002012B5">
        <w:t>Beshay</w:t>
      </w:r>
      <w:proofErr w:type="spellEnd"/>
      <w:r w:rsidRPr="002012B5">
        <w:t xml:space="preserve"> JE, Morgan H, Madden C, et.al.Emergency reversal of anticoagulation and antiplatelet therapies in neurosurgical </w:t>
      </w:r>
      <w:proofErr w:type="spellStart"/>
      <w:r w:rsidRPr="002012B5">
        <w:t>patients.J</w:t>
      </w:r>
      <w:proofErr w:type="spellEnd"/>
      <w:r w:rsidRPr="002012B5">
        <w:t xml:space="preserve"> Neurosurg.2010; 112:307-18.</w:t>
      </w:r>
    </w:p>
    <w:p w:rsidR="00C01E98" w:rsidRDefault="00C01E98" w:rsidP="00C01E98">
      <w:r>
        <w:t xml:space="preserve">24. </w:t>
      </w:r>
      <w:proofErr w:type="spellStart"/>
      <w:r>
        <w:t>Baglin</w:t>
      </w:r>
      <w:proofErr w:type="spellEnd"/>
      <w:r>
        <w:t xml:space="preserve"> T, Keeling D, Kitchen S. Effects on routine coagulation screens and assessment of anticoagulant intensity in </w:t>
      </w:r>
      <w:proofErr w:type="spellStart"/>
      <w:r>
        <w:t>pateints</w:t>
      </w:r>
      <w:proofErr w:type="spellEnd"/>
      <w:r>
        <w:t xml:space="preserve"> taking oral </w:t>
      </w:r>
      <w:proofErr w:type="spellStart"/>
      <w:r>
        <w:t>dabigatran</w:t>
      </w:r>
      <w:proofErr w:type="spellEnd"/>
      <w:r>
        <w:t xml:space="preserve"> or </w:t>
      </w:r>
      <w:proofErr w:type="spellStart"/>
      <w:r>
        <w:t>rivaroxaban</w:t>
      </w:r>
      <w:proofErr w:type="spellEnd"/>
      <w:r>
        <w:t xml:space="preserve">: Guidance from the British Committee for Standards in </w:t>
      </w:r>
      <w:proofErr w:type="spellStart"/>
      <w:r>
        <w:t>Haematology</w:t>
      </w:r>
      <w:proofErr w:type="spellEnd"/>
      <w:r>
        <w:t xml:space="preserve">. Br J </w:t>
      </w:r>
      <w:proofErr w:type="spellStart"/>
      <w:r>
        <w:t>Haematol</w:t>
      </w:r>
      <w:proofErr w:type="spellEnd"/>
      <w:r>
        <w:t xml:space="preserve"> 2012; 159, 427-429</w:t>
      </w:r>
    </w:p>
    <w:p w:rsidR="00C01E98" w:rsidRPr="00687CC3" w:rsidRDefault="00C01E98" w:rsidP="00C01E98">
      <w:proofErr w:type="gramStart"/>
      <w:r>
        <w:t xml:space="preserve">25 </w:t>
      </w:r>
      <w:proofErr w:type="spellStart"/>
      <w:r>
        <w:t>Fawole</w:t>
      </w:r>
      <w:proofErr w:type="spellEnd"/>
      <w:r>
        <w:t xml:space="preserve"> A, </w:t>
      </w:r>
      <w:proofErr w:type="spellStart"/>
      <w:r>
        <w:t>Daw</w:t>
      </w:r>
      <w:proofErr w:type="spellEnd"/>
      <w:r>
        <w:t xml:space="preserve"> HA, </w:t>
      </w:r>
      <w:proofErr w:type="spellStart"/>
      <w:r>
        <w:t>Crowther</w:t>
      </w:r>
      <w:proofErr w:type="spellEnd"/>
      <w:r>
        <w:t xml:space="preserve"> M. Practical management of bleeding due to the anticoagulants </w:t>
      </w:r>
      <w:proofErr w:type="spellStart"/>
      <w:r>
        <w:t>dabigatran</w:t>
      </w:r>
      <w:proofErr w:type="spellEnd"/>
      <w:r>
        <w:t xml:space="preserve">, </w:t>
      </w:r>
      <w:proofErr w:type="spellStart"/>
      <w:r>
        <w:t>rivaroxaban</w:t>
      </w:r>
      <w:proofErr w:type="spellEnd"/>
      <w:r>
        <w:t xml:space="preserve"> and </w:t>
      </w:r>
      <w:proofErr w:type="spellStart"/>
      <w:r>
        <w:t>apixaban</w:t>
      </w:r>
      <w:proofErr w:type="spellEnd"/>
      <w:r>
        <w:t>.</w:t>
      </w:r>
      <w:proofErr w:type="gramEnd"/>
      <w:r>
        <w:t xml:space="preserve"> CCJM 2013</w:t>
      </w:r>
      <w:proofErr w:type="gramStart"/>
      <w:r>
        <w:t>;vol</w:t>
      </w:r>
      <w:proofErr w:type="gramEnd"/>
      <w:r>
        <w:t xml:space="preserve"> 80 7 433-451</w:t>
      </w:r>
    </w:p>
    <w:sectPr w:rsidR="00C01E98" w:rsidRPr="00687CC3" w:rsidSect="00EC6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105"/>
    <w:multiLevelType w:val="multilevel"/>
    <w:tmpl w:val="D99A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F5BA0"/>
    <w:multiLevelType w:val="hybridMultilevel"/>
    <w:tmpl w:val="9D181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C552E"/>
    <w:multiLevelType w:val="hybridMultilevel"/>
    <w:tmpl w:val="3A1CACC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2023721"/>
    <w:multiLevelType w:val="multilevel"/>
    <w:tmpl w:val="53F0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57FF8"/>
    <w:multiLevelType w:val="hybridMultilevel"/>
    <w:tmpl w:val="68B8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E4387"/>
    <w:multiLevelType w:val="hybridMultilevel"/>
    <w:tmpl w:val="6E04F3F6"/>
    <w:lvl w:ilvl="0" w:tplc="57224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74170"/>
    <w:multiLevelType w:val="multilevel"/>
    <w:tmpl w:val="6D2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4D32"/>
    <w:rsid w:val="0000025C"/>
    <w:rsid w:val="00003C39"/>
    <w:rsid w:val="00025692"/>
    <w:rsid w:val="000A3493"/>
    <w:rsid w:val="000D04A4"/>
    <w:rsid w:val="000D15A0"/>
    <w:rsid w:val="001124EB"/>
    <w:rsid w:val="00113101"/>
    <w:rsid w:val="0012013E"/>
    <w:rsid w:val="00155328"/>
    <w:rsid w:val="00173919"/>
    <w:rsid w:val="0018047A"/>
    <w:rsid w:val="00182C95"/>
    <w:rsid w:val="00187FD3"/>
    <w:rsid w:val="001B2B70"/>
    <w:rsid w:val="001C6913"/>
    <w:rsid w:val="001D263A"/>
    <w:rsid w:val="001D2FC1"/>
    <w:rsid w:val="002012B5"/>
    <w:rsid w:val="00243E79"/>
    <w:rsid w:val="00257552"/>
    <w:rsid w:val="00264C79"/>
    <w:rsid w:val="00281931"/>
    <w:rsid w:val="002D2FBA"/>
    <w:rsid w:val="00381CBD"/>
    <w:rsid w:val="003A249E"/>
    <w:rsid w:val="003A53FD"/>
    <w:rsid w:val="003A581C"/>
    <w:rsid w:val="003C66DB"/>
    <w:rsid w:val="004261A6"/>
    <w:rsid w:val="00465848"/>
    <w:rsid w:val="004764BD"/>
    <w:rsid w:val="004A5565"/>
    <w:rsid w:val="004C3AA0"/>
    <w:rsid w:val="004E351D"/>
    <w:rsid w:val="00521E44"/>
    <w:rsid w:val="005A7A74"/>
    <w:rsid w:val="00600139"/>
    <w:rsid w:val="0063062E"/>
    <w:rsid w:val="00637253"/>
    <w:rsid w:val="006757D7"/>
    <w:rsid w:val="006805DE"/>
    <w:rsid w:val="00687CC3"/>
    <w:rsid w:val="006A6824"/>
    <w:rsid w:val="006D2C83"/>
    <w:rsid w:val="006D5559"/>
    <w:rsid w:val="006F036D"/>
    <w:rsid w:val="00716C4D"/>
    <w:rsid w:val="007452D7"/>
    <w:rsid w:val="00774634"/>
    <w:rsid w:val="007A5F0C"/>
    <w:rsid w:val="007B56D1"/>
    <w:rsid w:val="00803433"/>
    <w:rsid w:val="008A4106"/>
    <w:rsid w:val="008A585A"/>
    <w:rsid w:val="008A782C"/>
    <w:rsid w:val="008B68EB"/>
    <w:rsid w:val="008E7C48"/>
    <w:rsid w:val="008F00B1"/>
    <w:rsid w:val="0090721B"/>
    <w:rsid w:val="00912D32"/>
    <w:rsid w:val="00924F37"/>
    <w:rsid w:val="009E236A"/>
    <w:rsid w:val="009E6D39"/>
    <w:rsid w:val="00A1518D"/>
    <w:rsid w:val="00A34D58"/>
    <w:rsid w:val="00A64849"/>
    <w:rsid w:val="00A8306A"/>
    <w:rsid w:val="00AD5537"/>
    <w:rsid w:val="00B00009"/>
    <w:rsid w:val="00B33302"/>
    <w:rsid w:val="00B94D32"/>
    <w:rsid w:val="00BE7266"/>
    <w:rsid w:val="00C01E98"/>
    <w:rsid w:val="00C24DE8"/>
    <w:rsid w:val="00C762F9"/>
    <w:rsid w:val="00CA21C8"/>
    <w:rsid w:val="00CA330D"/>
    <w:rsid w:val="00CB4C0C"/>
    <w:rsid w:val="00CD23CC"/>
    <w:rsid w:val="00CD2D04"/>
    <w:rsid w:val="00D24718"/>
    <w:rsid w:val="00D37AD2"/>
    <w:rsid w:val="00D55B40"/>
    <w:rsid w:val="00D905CB"/>
    <w:rsid w:val="00DD4646"/>
    <w:rsid w:val="00DF0DE5"/>
    <w:rsid w:val="00E612F8"/>
    <w:rsid w:val="00EA4708"/>
    <w:rsid w:val="00EC2076"/>
    <w:rsid w:val="00EC6D34"/>
    <w:rsid w:val="00F133FC"/>
    <w:rsid w:val="00F449EE"/>
    <w:rsid w:val="00F82D03"/>
    <w:rsid w:val="00F871FE"/>
    <w:rsid w:val="00F90139"/>
    <w:rsid w:val="00F96838"/>
    <w:rsid w:val="00FE78B9"/>
    <w:rsid w:val="00FF5389"/>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34"/>
  </w:style>
  <w:style w:type="paragraph" w:styleId="Heading3">
    <w:name w:val="heading 3"/>
    <w:basedOn w:val="Normal"/>
    <w:link w:val="Heading3Char"/>
    <w:uiPriority w:val="9"/>
    <w:qFormat/>
    <w:rsid w:val="003A53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06A"/>
    <w:pPr>
      <w:ind w:left="720"/>
      <w:contextualSpacing/>
    </w:pPr>
  </w:style>
  <w:style w:type="character" w:customStyle="1" w:styleId="Heading3Char">
    <w:name w:val="Heading 3 Char"/>
    <w:basedOn w:val="DefaultParagraphFont"/>
    <w:link w:val="Heading3"/>
    <w:uiPriority w:val="9"/>
    <w:rsid w:val="003A53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53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3FD"/>
    <w:rPr>
      <w:color w:val="0000FF"/>
      <w:u w:val="single"/>
    </w:rPr>
  </w:style>
  <w:style w:type="paragraph" w:styleId="BalloonText">
    <w:name w:val="Balloon Text"/>
    <w:basedOn w:val="Normal"/>
    <w:link w:val="BalloonTextChar"/>
    <w:uiPriority w:val="99"/>
    <w:semiHidden/>
    <w:unhideWhenUsed/>
    <w:rsid w:val="003A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3FD"/>
    <w:rPr>
      <w:rFonts w:ascii="Tahoma" w:hAnsi="Tahoma" w:cs="Tahoma"/>
      <w:sz w:val="16"/>
      <w:szCs w:val="16"/>
    </w:rPr>
  </w:style>
  <w:style w:type="table" w:styleId="TableGrid">
    <w:name w:val="Table Grid"/>
    <w:basedOn w:val="TableNormal"/>
    <w:uiPriority w:val="59"/>
    <w:rsid w:val="00003C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3C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078710">
      <w:bodyDiv w:val="1"/>
      <w:marLeft w:val="0"/>
      <w:marRight w:val="0"/>
      <w:marTop w:val="0"/>
      <w:marBottom w:val="0"/>
      <w:divBdr>
        <w:top w:val="none" w:sz="0" w:space="0" w:color="auto"/>
        <w:left w:val="none" w:sz="0" w:space="0" w:color="auto"/>
        <w:bottom w:val="none" w:sz="0" w:space="0" w:color="auto"/>
        <w:right w:val="none" w:sz="0" w:space="0" w:color="auto"/>
      </w:divBdr>
      <w:divsChild>
        <w:div w:id="1897154959">
          <w:marLeft w:val="0"/>
          <w:marRight w:val="0"/>
          <w:marTop w:val="0"/>
          <w:marBottom w:val="0"/>
          <w:divBdr>
            <w:top w:val="none" w:sz="0" w:space="0" w:color="auto"/>
            <w:left w:val="none" w:sz="0" w:space="0" w:color="auto"/>
            <w:bottom w:val="none" w:sz="0" w:space="0" w:color="auto"/>
            <w:right w:val="none" w:sz="0" w:space="0" w:color="auto"/>
          </w:divBdr>
        </w:div>
      </w:divsChild>
    </w:div>
    <w:div w:id="495726918">
      <w:bodyDiv w:val="1"/>
      <w:marLeft w:val="0"/>
      <w:marRight w:val="0"/>
      <w:marTop w:val="0"/>
      <w:marBottom w:val="0"/>
      <w:divBdr>
        <w:top w:val="none" w:sz="0" w:space="0" w:color="auto"/>
        <w:left w:val="none" w:sz="0" w:space="0" w:color="auto"/>
        <w:bottom w:val="none" w:sz="0" w:space="0" w:color="auto"/>
        <w:right w:val="none" w:sz="0" w:space="0" w:color="auto"/>
      </w:divBdr>
      <w:divsChild>
        <w:div w:id="1183007504">
          <w:marLeft w:val="0"/>
          <w:marRight w:val="0"/>
          <w:marTop w:val="0"/>
          <w:marBottom w:val="0"/>
          <w:divBdr>
            <w:top w:val="none" w:sz="0" w:space="0" w:color="auto"/>
            <w:left w:val="none" w:sz="0" w:space="0" w:color="auto"/>
            <w:bottom w:val="none" w:sz="0" w:space="0" w:color="auto"/>
            <w:right w:val="none" w:sz="0" w:space="0" w:color="auto"/>
          </w:divBdr>
        </w:div>
        <w:div w:id="1270626956">
          <w:marLeft w:val="0"/>
          <w:marRight w:val="0"/>
          <w:marTop w:val="0"/>
          <w:marBottom w:val="0"/>
          <w:divBdr>
            <w:top w:val="none" w:sz="0" w:space="0" w:color="auto"/>
            <w:left w:val="none" w:sz="0" w:space="0" w:color="auto"/>
            <w:bottom w:val="none" w:sz="0" w:space="0" w:color="auto"/>
            <w:right w:val="none" w:sz="0" w:space="0" w:color="auto"/>
          </w:divBdr>
        </w:div>
      </w:divsChild>
    </w:div>
    <w:div w:id="521093952">
      <w:bodyDiv w:val="1"/>
      <w:marLeft w:val="0"/>
      <w:marRight w:val="0"/>
      <w:marTop w:val="0"/>
      <w:marBottom w:val="0"/>
      <w:divBdr>
        <w:top w:val="none" w:sz="0" w:space="0" w:color="auto"/>
        <w:left w:val="none" w:sz="0" w:space="0" w:color="auto"/>
        <w:bottom w:val="none" w:sz="0" w:space="0" w:color="auto"/>
        <w:right w:val="none" w:sz="0" w:space="0" w:color="auto"/>
      </w:divBdr>
    </w:div>
    <w:div w:id="535851592">
      <w:bodyDiv w:val="1"/>
      <w:marLeft w:val="0"/>
      <w:marRight w:val="0"/>
      <w:marTop w:val="0"/>
      <w:marBottom w:val="0"/>
      <w:divBdr>
        <w:top w:val="none" w:sz="0" w:space="0" w:color="auto"/>
        <w:left w:val="none" w:sz="0" w:space="0" w:color="auto"/>
        <w:bottom w:val="none" w:sz="0" w:space="0" w:color="auto"/>
        <w:right w:val="none" w:sz="0" w:space="0" w:color="auto"/>
      </w:divBdr>
    </w:div>
    <w:div w:id="754204102">
      <w:bodyDiv w:val="1"/>
      <w:marLeft w:val="0"/>
      <w:marRight w:val="0"/>
      <w:marTop w:val="0"/>
      <w:marBottom w:val="0"/>
      <w:divBdr>
        <w:top w:val="none" w:sz="0" w:space="0" w:color="auto"/>
        <w:left w:val="none" w:sz="0" w:space="0" w:color="auto"/>
        <w:bottom w:val="none" w:sz="0" w:space="0" w:color="auto"/>
        <w:right w:val="none" w:sz="0" w:space="0" w:color="auto"/>
      </w:divBdr>
    </w:div>
    <w:div w:id="1399749904">
      <w:bodyDiv w:val="1"/>
      <w:marLeft w:val="0"/>
      <w:marRight w:val="0"/>
      <w:marTop w:val="0"/>
      <w:marBottom w:val="0"/>
      <w:divBdr>
        <w:top w:val="none" w:sz="0" w:space="0" w:color="auto"/>
        <w:left w:val="none" w:sz="0" w:space="0" w:color="auto"/>
        <w:bottom w:val="none" w:sz="0" w:space="0" w:color="auto"/>
        <w:right w:val="none" w:sz="0" w:space="0" w:color="auto"/>
      </w:divBdr>
    </w:div>
    <w:div w:id="1636907216">
      <w:bodyDiv w:val="1"/>
      <w:marLeft w:val="0"/>
      <w:marRight w:val="0"/>
      <w:marTop w:val="0"/>
      <w:marBottom w:val="0"/>
      <w:divBdr>
        <w:top w:val="none" w:sz="0" w:space="0" w:color="auto"/>
        <w:left w:val="none" w:sz="0" w:space="0" w:color="auto"/>
        <w:bottom w:val="none" w:sz="0" w:space="0" w:color="auto"/>
        <w:right w:val="none" w:sz="0" w:space="0" w:color="auto"/>
      </w:divBdr>
    </w:div>
    <w:div w:id="1929072818">
      <w:bodyDiv w:val="1"/>
      <w:marLeft w:val="0"/>
      <w:marRight w:val="0"/>
      <w:marTop w:val="0"/>
      <w:marBottom w:val="0"/>
      <w:divBdr>
        <w:top w:val="none" w:sz="0" w:space="0" w:color="auto"/>
        <w:left w:val="none" w:sz="0" w:space="0" w:color="auto"/>
        <w:bottom w:val="none" w:sz="0" w:space="0" w:color="auto"/>
        <w:right w:val="none" w:sz="0" w:space="0" w:color="auto"/>
      </w:divBdr>
    </w:div>
    <w:div w:id="1993293790">
      <w:bodyDiv w:val="1"/>
      <w:marLeft w:val="0"/>
      <w:marRight w:val="0"/>
      <w:marTop w:val="0"/>
      <w:marBottom w:val="0"/>
      <w:divBdr>
        <w:top w:val="none" w:sz="0" w:space="0" w:color="auto"/>
        <w:left w:val="none" w:sz="0" w:space="0" w:color="auto"/>
        <w:bottom w:val="none" w:sz="0" w:space="0" w:color="auto"/>
        <w:right w:val="none" w:sz="0" w:space="0" w:color="auto"/>
      </w:divBdr>
    </w:div>
    <w:div w:id="1999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19</Pages>
  <Words>5117</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2016-06-27T15:54:00Z</dcterms:created>
  <dcterms:modified xsi:type="dcterms:W3CDTF">2016-08-05T07:19:00Z</dcterms:modified>
</cp:coreProperties>
</file>